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CDFE" w14:textId="3A9D0F39" w:rsidR="003E1E57" w:rsidRPr="00A42AE4" w:rsidRDefault="003E1E57" w:rsidP="0019771E">
      <w:pPr>
        <w:pStyle w:val="Nagwek1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A42AE4">
        <w:rPr>
          <w:rFonts w:ascii="Arial" w:hAnsi="Arial" w:cs="Arial"/>
          <w:b/>
          <w:bCs/>
          <w:color w:val="auto"/>
          <w:sz w:val="24"/>
          <w:szCs w:val="24"/>
        </w:rPr>
        <w:t>Kontrola dostępności usług</w:t>
      </w:r>
    </w:p>
    <w:p w14:paraId="365DCC4F" w14:textId="77777777" w:rsidR="0091312E" w:rsidRPr="00A42AE4" w:rsidRDefault="0091312E" w:rsidP="0019771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10F7BB4" w14:textId="08581888" w:rsidR="003E1E57" w:rsidRPr="00A42AE4" w:rsidRDefault="003E1E57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Prezes Urzędu Lotnictwa Cywilnego jest jednym z organów nadzoru rynku, o którym mowa w ustawie z dnia 26 kwietnia 2024</w:t>
      </w:r>
      <w:r w:rsidR="0019771E">
        <w:rPr>
          <w:rFonts w:ascii="Arial" w:hAnsi="Arial" w:cs="Arial"/>
          <w:color w:val="auto"/>
          <w:sz w:val="24"/>
          <w:szCs w:val="24"/>
        </w:rPr>
        <w:t xml:space="preserve"> r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. </w:t>
      </w:r>
      <w:r w:rsidR="00A42AE4">
        <w:rPr>
          <w:rFonts w:ascii="Arial" w:hAnsi="Arial" w:cs="Arial"/>
          <w:color w:val="auto"/>
          <w:sz w:val="24"/>
          <w:szCs w:val="24"/>
        </w:rPr>
        <w:t xml:space="preserve">- 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o zapewnianiu spełniania wymagań dostępności niektórych produktów i usług przez podmioty gospodarcze (Dz. U. z 2024 r. poz. 731) – </w:t>
      </w:r>
      <w:r w:rsidR="00A42AE4">
        <w:rPr>
          <w:rFonts w:ascii="Arial" w:hAnsi="Arial" w:cs="Arial"/>
          <w:color w:val="auto"/>
          <w:sz w:val="24"/>
          <w:szCs w:val="24"/>
        </w:rPr>
        <w:t>zwaną dalej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Polski</w:t>
      </w:r>
      <w:r w:rsidR="00A42AE4">
        <w:rPr>
          <w:rFonts w:ascii="Arial" w:hAnsi="Arial" w:cs="Arial"/>
          <w:color w:val="auto"/>
          <w:sz w:val="24"/>
          <w:szCs w:val="24"/>
        </w:rPr>
        <w:t>m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Akt</w:t>
      </w:r>
      <w:r w:rsidR="00A42AE4">
        <w:rPr>
          <w:rFonts w:ascii="Arial" w:hAnsi="Arial" w:cs="Arial"/>
          <w:color w:val="auto"/>
          <w:sz w:val="24"/>
          <w:szCs w:val="24"/>
        </w:rPr>
        <w:t>em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o Dostępności.</w:t>
      </w:r>
      <w:r w:rsid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3D2A4C">
        <w:rPr>
          <w:rFonts w:ascii="Arial" w:hAnsi="Arial" w:cs="Arial"/>
          <w:color w:val="auto"/>
          <w:sz w:val="24"/>
          <w:szCs w:val="24"/>
        </w:rPr>
        <w:t>Celem tych regulacji jest zapewnienie aby osoby z niepełnosprawnościami oraz osoby ze szczególnymi potrzebami mogły korzystać z tych usług na równych zasadach.</w:t>
      </w:r>
    </w:p>
    <w:p w14:paraId="3C1A88FB" w14:textId="0F3A2836" w:rsidR="003E1E57" w:rsidRPr="00A42AE4" w:rsidRDefault="003E1E57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 xml:space="preserve">Kompetencje </w:t>
      </w:r>
      <w:r w:rsidR="003D2A4C">
        <w:rPr>
          <w:rFonts w:ascii="Arial" w:hAnsi="Arial" w:cs="Arial"/>
          <w:color w:val="auto"/>
          <w:sz w:val="24"/>
          <w:szCs w:val="24"/>
        </w:rPr>
        <w:t>Prezesa Urzędu Lotnictwa Cywilnego</w:t>
      </w:r>
      <w:r w:rsidR="003D2A4C"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zostały </w:t>
      </w:r>
      <w:r w:rsidR="009B4D9C">
        <w:rPr>
          <w:rFonts w:ascii="Arial" w:hAnsi="Arial" w:cs="Arial"/>
          <w:color w:val="auto"/>
          <w:sz w:val="24"/>
          <w:szCs w:val="24"/>
        </w:rPr>
        <w:t xml:space="preserve">przewidziane w art. </w:t>
      </w:r>
      <w:r w:rsidR="009B4D9C" w:rsidRPr="00A42AE4">
        <w:rPr>
          <w:rFonts w:ascii="Arial" w:hAnsi="Arial" w:cs="Arial"/>
          <w:color w:val="auto"/>
          <w:sz w:val="24"/>
          <w:szCs w:val="24"/>
        </w:rPr>
        <w:t xml:space="preserve">21 ust. 2f 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ustawy Prawo lotnicze </w:t>
      </w:r>
      <w:r w:rsidR="0091312E" w:rsidRPr="00A42AE4">
        <w:rPr>
          <w:rFonts w:ascii="Arial" w:hAnsi="Arial" w:cs="Arial"/>
          <w:color w:val="auto"/>
          <w:sz w:val="24"/>
          <w:szCs w:val="24"/>
        </w:rPr>
        <w:t xml:space="preserve"> (Dz.U.2025 r. poz.1431 i 1668 oraz 2026 r. poz. 176, 607</w:t>
      </w:r>
      <w:r w:rsidR="0019771E">
        <w:rPr>
          <w:rFonts w:ascii="Arial" w:hAnsi="Arial" w:cs="Arial"/>
          <w:color w:val="auto"/>
          <w:sz w:val="24"/>
          <w:szCs w:val="24"/>
        </w:rPr>
        <w:t>,</w:t>
      </w:r>
      <w:r w:rsidR="0091312E" w:rsidRPr="00A42AE4">
        <w:rPr>
          <w:rFonts w:ascii="Arial" w:hAnsi="Arial" w:cs="Arial"/>
          <w:color w:val="auto"/>
          <w:sz w:val="24"/>
          <w:szCs w:val="24"/>
        </w:rPr>
        <w:t xml:space="preserve"> 864</w:t>
      </w:r>
      <w:r w:rsidR="0019771E">
        <w:rPr>
          <w:rFonts w:ascii="Arial" w:hAnsi="Arial" w:cs="Arial"/>
          <w:color w:val="auto"/>
          <w:sz w:val="24"/>
          <w:szCs w:val="24"/>
        </w:rPr>
        <w:t xml:space="preserve"> i 1157</w:t>
      </w:r>
      <w:r w:rsidRPr="00A42AE4">
        <w:rPr>
          <w:rFonts w:ascii="Arial" w:hAnsi="Arial" w:cs="Arial"/>
          <w:color w:val="auto"/>
          <w:sz w:val="24"/>
          <w:szCs w:val="24"/>
        </w:rPr>
        <w:t>)</w:t>
      </w:r>
      <w:r w:rsidR="0091312E" w:rsidRPr="00A42AE4">
        <w:rPr>
          <w:rFonts w:ascii="Arial" w:hAnsi="Arial" w:cs="Arial"/>
          <w:color w:val="auto"/>
          <w:sz w:val="24"/>
          <w:szCs w:val="24"/>
        </w:rPr>
        <w:t>.</w:t>
      </w:r>
    </w:p>
    <w:p w14:paraId="1A7A7313" w14:textId="68E9BACF" w:rsidR="0091312E" w:rsidRPr="00A42AE4" w:rsidRDefault="0091312E" w:rsidP="0019771E">
      <w:pPr>
        <w:jc w:val="both"/>
        <w:rPr>
          <w:rFonts w:ascii="Arial" w:hAnsi="Arial" w:cs="Arial"/>
          <w:sz w:val="24"/>
          <w:szCs w:val="24"/>
        </w:rPr>
      </w:pPr>
    </w:p>
    <w:p w14:paraId="69B07E73" w14:textId="55A13DDA" w:rsidR="0091312E" w:rsidRPr="00A42AE4" w:rsidRDefault="00347B46" w:rsidP="0019771E">
      <w:pPr>
        <w:pStyle w:val="Nagwek2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Zakres w</w:t>
      </w:r>
      <w:r w:rsidRPr="00A42AE4">
        <w:rPr>
          <w:rFonts w:ascii="Arial" w:hAnsi="Arial" w:cs="Arial"/>
          <w:b/>
          <w:bCs/>
          <w:color w:val="auto"/>
          <w:sz w:val="24"/>
          <w:szCs w:val="24"/>
        </w:rPr>
        <w:t>łaściwoś</w:t>
      </w:r>
      <w:r>
        <w:rPr>
          <w:rFonts w:ascii="Arial" w:hAnsi="Arial" w:cs="Arial"/>
          <w:b/>
          <w:bCs/>
          <w:color w:val="auto"/>
          <w:sz w:val="24"/>
          <w:szCs w:val="24"/>
        </w:rPr>
        <w:t>ci</w:t>
      </w:r>
      <w:r w:rsidRPr="00A42AE4">
        <w:rPr>
          <w:rFonts w:ascii="Arial" w:hAnsi="Arial" w:cs="Arial"/>
          <w:b/>
          <w:bCs/>
          <w:color w:val="auto"/>
          <w:sz w:val="24"/>
          <w:szCs w:val="24"/>
        </w:rPr>
        <w:t xml:space="preserve"> nadzorcz</w:t>
      </w:r>
      <w:r>
        <w:rPr>
          <w:rFonts w:ascii="Arial" w:hAnsi="Arial" w:cs="Arial"/>
          <w:b/>
          <w:bCs/>
          <w:color w:val="auto"/>
          <w:sz w:val="24"/>
          <w:szCs w:val="24"/>
        </w:rPr>
        <w:t>ej</w:t>
      </w:r>
      <w:r w:rsidRPr="00A42AE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91312E" w:rsidRPr="00A42AE4">
        <w:rPr>
          <w:rFonts w:ascii="Arial" w:hAnsi="Arial" w:cs="Arial"/>
          <w:b/>
          <w:bCs/>
          <w:color w:val="auto"/>
          <w:sz w:val="24"/>
          <w:szCs w:val="24"/>
        </w:rPr>
        <w:t>Prezesa U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rzędu </w:t>
      </w:r>
      <w:r w:rsidR="0091312E" w:rsidRPr="00A42AE4">
        <w:rPr>
          <w:rFonts w:ascii="Arial" w:hAnsi="Arial" w:cs="Arial"/>
          <w:b/>
          <w:bCs/>
          <w:color w:val="auto"/>
          <w:sz w:val="24"/>
          <w:szCs w:val="24"/>
        </w:rPr>
        <w:t>L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otnictwa </w:t>
      </w:r>
      <w:r w:rsidR="0091312E" w:rsidRPr="00A42AE4">
        <w:rPr>
          <w:rFonts w:ascii="Arial" w:hAnsi="Arial" w:cs="Arial"/>
          <w:b/>
          <w:bCs/>
          <w:color w:val="auto"/>
          <w:sz w:val="24"/>
          <w:szCs w:val="24"/>
        </w:rPr>
        <w:t>C</w:t>
      </w:r>
      <w:r>
        <w:rPr>
          <w:rFonts w:ascii="Arial" w:hAnsi="Arial" w:cs="Arial"/>
          <w:b/>
          <w:bCs/>
          <w:color w:val="auto"/>
          <w:sz w:val="24"/>
          <w:szCs w:val="24"/>
        </w:rPr>
        <w:t>ywilnego</w:t>
      </w:r>
    </w:p>
    <w:p w14:paraId="41180DEC" w14:textId="4773BAEE" w:rsidR="0091312E" w:rsidRPr="00A42AE4" w:rsidRDefault="0091312E" w:rsidP="0019771E">
      <w:pPr>
        <w:jc w:val="both"/>
        <w:rPr>
          <w:rFonts w:ascii="Arial" w:hAnsi="Arial" w:cs="Arial"/>
          <w:sz w:val="24"/>
          <w:szCs w:val="24"/>
        </w:rPr>
      </w:pPr>
    </w:p>
    <w:p w14:paraId="051E1C4B" w14:textId="612EEF2A" w:rsidR="00A42AE4" w:rsidRDefault="0091312E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Na podstawie</w:t>
      </w:r>
      <w:r w:rsidR="0091263B" w:rsidRPr="0091263B">
        <w:t xml:space="preserve"> </w:t>
      </w:r>
      <w:r w:rsidR="0091263B" w:rsidRPr="0091263B">
        <w:rPr>
          <w:rFonts w:ascii="Arial" w:hAnsi="Arial" w:cs="Arial"/>
          <w:color w:val="auto"/>
          <w:sz w:val="24"/>
          <w:szCs w:val="24"/>
        </w:rPr>
        <w:t>art. 38 ust. 3 pkt 6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Polskiego </w:t>
      </w:r>
      <w:r w:rsidR="00A42AE4">
        <w:rPr>
          <w:rFonts w:ascii="Arial" w:hAnsi="Arial" w:cs="Arial"/>
          <w:color w:val="auto"/>
          <w:sz w:val="24"/>
          <w:szCs w:val="24"/>
        </w:rPr>
        <w:t>A</w:t>
      </w:r>
      <w:r w:rsidR="00A42AE4" w:rsidRPr="00A42AE4">
        <w:rPr>
          <w:rFonts w:ascii="Arial" w:hAnsi="Arial" w:cs="Arial"/>
          <w:color w:val="auto"/>
          <w:sz w:val="24"/>
          <w:szCs w:val="24"/>
        </w:rPr>
        <w:t xml:space="preserve">ktu </w:t>
      </w:r>
      <w:r w:rsidR="00EB1C0C">
        <w:rPr>
          <w:rFonts w:ascii="Arial" w:hAnsi="Arial" w:cs="Arial"/>
          <w:color w:val="auto"/>
          <w:sz w:val="24"/>
          <w:szCs w:val="24"/>
        </w:rPr>
        <w:t xml:space="preserve">o 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Dostępności </w:t>
      </w:r>
      <w:r w:rsidR="00A42AE4">
        <w:rPr>
          <w:rFonts w:ascii="Arial" w:hAnsi="Arial" w:cs="Arial"/>
          <w:color w:val="auto"/>
          <w:sz w:val="24"/>
          <w:szCs w:val="24"/>
        </w:rPr>
        <w:t xml:space="preserve">właściwość </w:t>
      </w:r>
      <w:r w:rsidRPr="00A42AE4">
        <w:rPr>
          <w:rFonts w:ascii="Arial" w:hAnsi="Arial" w:cs="Arial"/>
          <w:color w:val="auto"/>
          <w:sz w:val="24"/>
          <w:szCs w:val="24"/>
        </w:rPr>
        <w:t>Prezes</w:t>
      </w:r>
      <w:r w:rsidR="00A42AE4">
        <w:rPr>
          <w:rFonts w:ascii="Arial" w:hAnsi="Arial" w:cs="Arial"/>
          <w:color w:val="auto"/>
          <w:sz w:val="24"/>
          <w:szCs w:val="24"/>
        </w:rPr>
        <w:t>a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U</w:t>
      </w:r>
      <w:r w:rsidR="00A42AE4">
        <w:rPr>
          <w:rFonts w:ascii="Arial" w:hAnsi="Arial" w:cs="Arial"/>
          <w:color w:val="auto"/>
          <w:sz w:val="24"/>
          <w:szCs w:val="24"/>
        </w:rPr>
        <w:t xml:space="preserve">rzędu </w:t>
      </w:r>
      <w:r w:rsidRPr="00A42AE4">
        <w:rPr>
          <w:rFonts w:ascii="Arial" w:hAnsi="Arial" w:cs="Arial"/>
          <w:color w:val="auto"/>
          <w:sz w:val="24"/>
          <w:szCs w:val="24"/>
        </w:rPr>
        <w:t>L</w:t>
      </w:r>
      <w:r w:rsidR="00A42AE4">
        <w:rPr>
          <w:rFonts w:ascii="Arial" w:hAnsi="Arial" w:cs="Arial"/>
          <w:color w:val="auto"/>
          <w:sz w:val="24"/>
          <w:szCs w:val="24"/>
        </w:rPr>
        <w:t xml:space="preserve">otnictwa </w:t>
      </w:r>
      <w:r w:rsidRPr="00A42AE4">
        <w:rPr>
          <w:rFonts w:ascii="Arial" w:hAnsi="Arial" w:cs="Arial"/>
          <w:color w:val="auto"/>
          <w:sz w:val="24"/>
          <w:szCs w:val="24"/>
        </w:rPr>
        <w:t>C</w:t>
      </w:r>
      <w:r w:rsidR="00A42AE4">
        <w:rPr>
          <w:rFonts w:ascii="Arial" w:hAnsi="Arial" w:cs="Arial"/>
          <w:color w:val="auto"/>
          <w:sz w:val="24"/>
          <w:szCs w:val="24"/>
        </w:rPr>
        <w:t>ywilnego ma charakter przedmiotowo ograniczony i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A42AE4">
        <w:rPr>
          <w:rFonts w:ascii="Arial" w:hAnsi="Arial" w:cs="Arial"/>
          <w:color w:val="auto"/>
          <w:sz w:val="24"/>
          <w:szCs w:val="24"/>
        </w:rPr>
        <w:t>obejmuje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wyłącznie usług</w:t>
      </w:r>
      <w:r w:rsidR="00A42AE4">
        <w:rPr>
          <w:rFonts w:ascii="Arial" w:hAnsi="Arial" w:cs="Arial"/>
          <w:color w:val="auto"/>
          <w:sz w:val="24"/>
          <w:szCs w:val="24"/>
        </w:rPr>
        <w:t>i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A42AE4" w:rsidRPr="00A42AE4">
        <w:rPr>
          <w:rFonts w:ascii="Arial" w:hAnsi="Arial" w:cs="Arial"/>
          <w:color w:val="auto"/>
          <w:sz w:val="24"/>
          <w:szCs w:val="24"/>
        </w:rPr>
        <w:t>towarzysząc</w:t>
      </w:r>
      <w:r w:rsidR="00A42AE4">
        <w:rPr>
          <w:rFonts w:ascii="Arial" w:hAnsi="Arial" w:cs="Arial"/>
          <w:color w:val="auto"/>
          <w:sz w:val="24"/>
          <w:szCs w:val="24"/>
        </w:rPr>
        <w:t>e</w:t>
      </w:r>
      <w:r w:rsidR="00A42AE4"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Pr="00A42AE4">
        <w:rPr>
          <w:rFonts w:ascii="Arial" w:hAnsi="Arial" w:cs="Arial"/>
          <w:color w:val="auto"/>
          <w:sz w:val="24"/>
          <w:szCs w:val="24"/>
        </w:rPr>
        <w:t>usługom lotniczego transportu pasażerskiego</w:t>
      </w:r>
      <w:r w:rsidR="0091263B">
        <w:rPr>
          <w:rFonts w:ascii="Arial" w:hAnsi="Arial" w:cs="Arial"/>
          <w:color w:val="auto"/>
          <w:sz w:val="24"/>
          <w:szCs w:val="24"/>
        </w:rPr>
        <w:t>.</w:t>
      </w:r>
    </w:p>
    <w:p w14:paraId="0EED9521" w14:textId="7EEDAEDE" w:rsidR="002A2F1C" w:rsidRPr="00A42AE4" w:rsidRDefault="002A2F1C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Dotyczy to:</w:t>
      </w:r>
    </w:p>
    <w:p w14:paraId="4B7ED30D" w14:textId="77777777" w:rsidR="002A2F1C" w:rsidRPr="00A42AE4" w:rsidRDefault="002A2F1C" w:rsidP="0019771E">
      <w:pPr>
        <w:pStyle w:val="Podtyt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stron internetowych,</w:t>
      </w:r>
    </w:p>
    <w:p w14:paraId="5B737F2D" w14:textId="77777777" w:rsidR="002A2F1C" w:rsidRPr="00A42AE4" w:rsidRDefault="002A2F1C" w:rsidP="0019771E">
      <w:pPr>
        <w:pStyle w:val="Podtyt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usług oferowanych lub świadczonych za pomocą urządzeń mobilnych, w tym aplikacji mobilnych,</w:t>
      </w:r>
    </w:p>
    <w:p w14:paraId="78E2B8F0" w14:textId="77777777" w:rsidR="002A2F1C" w:rsidRPr="00A42AE4" w:rsidRDefault="002A2F1C" w:rsidP="0019771E">
      <w:pPr>
        <w:pStyle w:val="Podtyt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biletów elektronicznych i usług elektronicznych systemów sprzedaży biletów,</w:t>
      </w:r>
    </w:p>
    <w:p w14:paraId="2CDDB5FE" w14:textId="77777777" w:rsidR="002A2F1C" w:rsidRPr="00A42AE4" w:rsidRDefault="002A2F1C" w:rsidP="0019771E">
      <w:pPr>
        <w:pStyle w:val="Podtyt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dostarczania informacji związanych z tymi usługami, w tym informacji o podróży w czasie rzeczywistym, przy czym w odniesieniu do dostarczania tych informacji za pośrednictwem ekranów informacyjnych obowiązek ten dotyczy wyłącznie interaktywnych ekranów znajdujących się na terytorium Unii Europejskiej,</w:t>
      </w:r>
    </w:p>
    <w:p w14:paraId="3DD71A32" w14:textId="2631460A" w:rsidR="0091312E" w:rsidRPr="00A42AE4" w:rsidRDefault="002A2F1C" w:rsidP="0019771E">
      <w:pPr>
        <w:pStyle w:val="Podtytu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lastRenderedPageBreak/>
        <w:t>dostarczania informacji za pomocą przeznaczonych do tego interaktywnych terminali samoobsługowych znajdujących się na terytorium Unii Europejskiej, z wyjątkiem terminali instalowanych jako zintegrowane części pojazdów samochodowych,</w:t>
      </w:r>
      <w:r w:rsidR="0019771E">
        <w:rPr>
          <w:rFonts w:ascii="Arial" w:hAnsi="Arial" w:cs="Arial"/>
          <w:color w:val="auto"/>
          <w:sz w:val="24"/>
          <w:szCs w:val="24"/>
        </w:rPr>
        <w:t> </w:t>
      </w:r>
      <w:r w:rsidRPr="00A42AE4">
        <w:rPr>
          <w:rFonts w:ascii="Arial" w:hAnsi="Arial" w:cs="Arial"/>
          <w:color w:val="auto"/>
          <w:sz w:val="24"/>
          <w:szCs w:val="24"/>
        </w:rPr>
        <w:t>statków powietrznych, statków wodnych i taboru kolejowego.</w:t>
      </w:r>
    </w:p>
    <w:p w14:paraId="42BCC801" w14:textId="77777777" w:rsidR="0069691E" w:rsidRDefault="0069691E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3FBD15A4" w14:textId="3C0EB7FF" w:rsidR="006E1481" w:rsidRPr="0069691E" w:rsidRDefault="003D2A4C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69691E">
        <w:rPr>
          <w:rFonts w:ascii="Arial" w:hAnsi="Arial" w:cs="Arial"/>
          <w:color w:val="auto"/>
          <w:sz w:val="24"/>
          <w:szCs w:val="24"/>
        </w:rPr>
        <w:t>Nadzór Prezesa Urzędu Lotnictwa Cywilnego obejmuje podmioty świadczące usługi towarzyszące usługom lotniczego transportu pasażerskiego.</w:t>
      </w:r>
    </w:p>
    <w:p w14:paraId="531984B8" w14:textId="77777777" w:rsidR="006E1481" w:rsidRPr="0069691E" w:rsidRDefault="006E1481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027D2185" w14:textId="72E78480" w:rsidR="002A2F1C" w:rsidRPr="00A42AE4" w:rsidRDefault="002A2F1C" w:rsidP="0019771E">
      <w:pPr>
        <w:pStyle w:val="Podtytu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 xml:space="preserve">W odniesieniu do </w:t>
      </w:r>
      <w:r w:rsidR="00347B46">
        <w:rPr>
          <w:rFonts w:ascii="Arial" w:hAnsi="Arial" w:cs="Arial"/>
          <w:color w:val="auto"/>
          <w:sz w:val="24"/>
          <w:szCs w:val="24"/>
        </w:rPr>
        <w:t xml:space="preserve">usług towarzyszących lotniczemu transportowi pasażerskiemu 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usługi spełniające wymagania dostępności w zakresie informacji oraz wymagania informowania o dostępności </w:t>
      </w:r>
      <w:r w:rsidR="00347B46">
        <w:rPr>
          <w:rFonts w:ascii="Arial" w:hAnsi="Arial" w:cs="Arial"/>
          <w:color w:val="auto"/>
          <w:sz w:val="24"/>
          <w:szCs w:val="24"/>
        </w:rPr>
        <w:t>wynikają w szczególności z następujących dokumentów</w:t>
      </w:r>
      <w:r w:rsidRPr="00A42AE4">
        <w:rPr>
          <w:rFonts w:ascii="Arial" w:hAnsi="Arial" w:cs="Arial"/>
          <w:color w:val="auto"/>
          <w:sz w:val="24"/>
          <w:szCs w:val="24"/>
        </w:rPr>
        <w:t>:</w:t>
      </w:r>
    </w:p>
    <w:p w14:paraId="4AF58100" w14:textId="77777777" w:rsidR="0008132D" w:rsidRPr="00A42AE4" w:rsidRDefault="0008132D" w:rsidP="0019771E">
      <w:pPr>
        <w:jc w:val="both"/>
        <w:rPr>
          <w:rFonts w:ascii="Arial" w:hAnsi="Arial" w:cs="Arial"/>
          <w:sz w:val="24"/>
          <w:szCs w:val="24"/>
        </w:rPr>
      </w:pPr>
    </w:p>
    <w:p w14:paraId="76FF6B06" w14:textId="638C8266" w:rsidR="0008132D" w:rsidRPr="00A42AE4" w:rsidRDefault="00EB1C0C" w:rsidP="0019771E">
      <w:pPr>
        <w:pStyle w:val="Podtyt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Rozporządzeni</w:t>
      </w:r>
      <w:r>
        <w:rPr>
          <w:rFonts w:ascii="Arial" w:hAnsi="Arial" w:cs="Arial"/>
          <w:color w:val="auto"/>
          <w:sz w:val="24"/>
          <w:szCs w:val="24"/>
        </w:rPr>
        <w:t>e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08132D" w:rsidRPr="00A42AE4">
        <w:rPr>
          <w:rFonts w:ascii="Arial" w:hAnsi="Arial" w:cs="Arial"/>
          <w:color w:val="auto"/>
          <w:sz w:val="24"/>
          <w:szCs w:val="24"/>
        </w:rPr>
        <w:t xml:space="preserve">(WE) nr 261/2004– </w:t>
      </w:r>
      <w:r w:rsidRPr="00A42AE4">
        <w:rPr>
          <w:rFonts w:ascii="Arial" w:hAnsi="Arial" w:cs="Arial"/>
          <w:color w:val="auto"/>
          <w:sz w:val="24"/>
          <w:szCs w:val="24"/>
        </w:rPr>
        <w:t>ustanawiając</w:t>
      </w:r>
      <w:r>
        <w:rPr>
          <w:rFonts w:ascii="Arial" w:hAnsi="Arial" w:cs="Arial"/>
          <w:color w:val="auto"/>
          <w:sz w:val="24"/>
          <w:szCs w:val="24"/>
        </w:rPr>
        <w:t>e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142F2E">
        <w:rPr>
          <w:rFonts w:ascii="Arial" w:hAnsi="Arial" w:cs="Arial"/>
          <w:color w:val="auto"/>
          <w:sz w:val="24"/>
          <w:szCs w:val="24"/>
        </w:rPr>
        <w:t xml:space="preserve">wspólne </w:t>
      </w:r>
      <w:r w:rsidR="0008132D" w:rsidRPr="00A42AE4">
        <w:rPr>
          <w:rFonts w:ascii="Arial" w:hAnsi="Arial" w:cs="Arial"/>
          <w:color w:val="auto"/>
          <w:sz w:val="24"/>
          <w:szCs w:val="24"/>
        </w:rPr>
        <w:t>zasady odszkodowania i pomocy dla pasażerów w przypadku odmowy przyjęcia na pokład</w:t>
      </w:r>
      <w:r w:rsidR="00142F2E">
        <w:rPr>
          <w:rFonts w:ascii="Arial" w:hAnsi="Arial" w:cs="Arial"/>
          <w:color w:val="auto"/>
          <w:sz w:val="24"/>
          <w:szCs w:val="24"/>
        </w:rPr>
        <w:t xml:space="preserve"> albo</w:t>
      </w:r>
      <w:r w:rsidR="00142F2E"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08132D" w:rsidRPr="00A42AE4">
        <w:rPr>
          <w:rFonts w:ascii="Arial" w:hAnsi="Arial" w:cs="Arial"/>
          <w:color w:val="auto"/>
          <w:sz w:val="24"/>
          <w:szCs w:val="24"/>
        </w:rPr>
        <w:t xml:space="preserve">odwołania lub </w:t>
      </w:r>
      <w:r w:rsidR="00142F2E">
        <w:rPr>
          <w:rFonts w:ascii="Arial" w:hAnsi="Arial" w:cs="Arial"/>
          <w:color w:val="auto"/>
          <w:sz w:val="24"/>
          <w:szCs w:val="24"/>
        </w:rPr>
        <w:t xml:space="preserve">dużego </w:t>
      </w:r>
      <w:r w:rsidR="0008132D" w:rsidRPr="00A42AE4">
        <w:rPr>
          <w:rFonts w:ascii="Arial" w:hAnsi="Arial" w:cs="Arial"/>
          <w:color w:val="auto"/>
          <w:sz w:val="24"/>
          <w:szCs w:val="24"/>
        </w:rPr>
        <w:t>opóźnienia lotów</w:t>
      </w:r>
      <w:r w:rsidR="0091263B" w:rsidRPr="0091263B">
        <w:rPr>
          <w:rFonts w:ascii="Arial" w:hAnsi="Arial" w:cs="Arial"/>
          <w:color w:val="auto"/>
          <w:sz w:val="24"/>
          <w:szCs w:val="24"/>
        </w:rPr>
        <w:t xml:space="preserve"> </w:t>
      </w:r>
      <w:r w:rsidR="0091263B">
        <w:rPr>
          <w:rFonts w:ascii="Arial" w:hAnsi="Arial" w:cs="Arial"/>
          <w:color w:val="auto"/>
          <w:sz w:val="24"/>
          <w:szCs w:val="24"/>
        </w:rPr>
        <w:t>(</w:t>
      </w:r>
      <w:r w:rsidR="0091263B" w:rsidRPr="0019771E">
        <w:rPr>
          <w:rFonts w:ascii="Arial" w:hAnsi="Arial" w:cs="Arial"/>
          <w:color w:val="auto"/>
          <w:sz w:val="24"/>
          <w:szCs w:val="24"/>
        </w:rPr>
        <w:t>Dz.U.UE.L.2004.46.1)</w:t>
      </w:r>
      <w:r w:rsidR="0091263B">
        <w:rPr>
          <w:rFonts w:ascii="Arial" w:hAnsi="Arial" w:cs="Arial"/>
          <w:color w:val="auto"/>
          <w:sz w:val="24"/>
          <w:szCs w:val="24"/>
        </w:rPr>
        <w:t>;</w:t>
      </w:r>
    </w:p>
    <w:p w14:paraId="1256BD10" w14:textId="3C42A3A3" w:rsidR="00135DF7" w:rsidRDefault="00EB1C0C" w:rsidP="0019771E">
      <w:pPr>
        <w:pStyle w:val="Podtyt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42AE4">
        <w:rPr>
          <w:rFonts w:ascii="Arial" w:hAnsi="Arial" w:cs="Arial"/>
          <w:color w:val="auto"/>
          <w:sz w:val="24"/>
          <w:szCs w:val="24"/>
        </w:rPr>
        <w:t>Rozporządzeni</w:t>
      </w:r>
      <w:r>
        <w:rPr>
          <w:rFonts w:ascii="Arial" w:hAnsi="Arial" w:cs="Arial"/>
          <w:color w:val="auto"/>
          <w:sz w:val="24"/>
          <w:szCs w:val="24"/>
        </w:rPr>
        <w:t>e</w:t>
      </w:r>
      <w:r w:rsidRPr="00A42AE4">
        <w:rPr>
          <w:rFonts w:ascii="Arial" w:hAnsi="Arial" w:cs="Arial"/>
          <w:color w:val="auto"/>
          <w:sz w:val="24"/>
          <w:szCs w:val="24"/>
        </w:rPr>
        <w:t xml:space="preserve"> </w:t>
      </w:r>
      <w:r w:rsidR="0008132D" w:rsidRPr="00A42AE4">
        <w:rPr>
          <w:rFonts w:ascii="Arial" w:hAnsi="Arial" w:cs="Arial"/>
          <w:color w:val="auto"/>
          <w:sz w:val="24"/>
          <w:szCs w:val="24"/>
        </w:rPr>
        <w:t>(WE) nr 1107/2006</w:t>
      </w:r>
      <w:r w:rsidR="0019771E">
        <w:rPr>
          <w:rFonts w:ascii="Arial" w:hAnsi="Arial" w:cs="Arial"/>
          <w:color w:val="auto"/>
          <w:sz w:val="24"/>
          <w:szCs w:val="24"/>
        </w:rPr>
        <w:t xml:space="preserve"> </w:t>
      </w:r>
      <w:r w:rsidR="0008132D" w:rsidRPr="00A42AE4">
        <w:rPr>
          <w:rFonts w:ascii="Arial" w:hAnsi="Arial" w:cs="Arial"/>
          <w:color w:val="auto"/>
          <w:sz w:val="24"/>
          <w:szCs w:val="24"/>
        </w:rPr>
        <w:t>w sprawie praw osób niepełnosprawnych oraz osób o ograniczonej sprawności ruchowej podróżujących drogą lotniczą</w:t>
      </w:r>
      <w:r w:rsidR="0091263B">
        <w:rPr>
          <w:rFonts w:ascii="Arial" w:hAnsi="Arial" w:cs="Arial"/>
          <w:color w:val="auto"/>
          <w:sz w:val="24"/>
          <w:szCs w:val="24"/>
        </w:rPr>
        <w:t xml:space="preserve"> </w:t>
      </w:r>
      <w:r w:rsidR="0091263B">
        <w:rPr>
          <w:rFonts w:ascii="Arial" w:hAnsi="Arial" w:cs="Arial"/>
          <w:color w:val="auto"/>
          <w:sz w:val="24"/>
          <w:szCs w:val="24"/>
        </w:rPr>
        <w:t>(</w:t>
      </w:r>
      <w:proofErr w:type="spellStart"/>
      <w:r w:rsidR="0091263B" w:rsidRPr="0019771E">
        <w:rPr>
          <w:rFonts w:ascii="Arial" w:hAnsi="Arial" w:cs="Arial"/>
          <w:color w:val="auto"/>
          <w:sz w:val="24"/>
          <w:szCs w:val="24"/>
        </w:rPr>
        <w:t>Dz.Urz.UE.L</w:t>
      </w:r>
      <w:proofErr w:type="spellEnd"/>
      <w:r w:rsidR="0091263B" w:rsidRPr="0019771E">
        <w:rPr>
          <w:rFonts w:ascii="Arial" w:hAnsi="Arial" w:cs="Arial"/>
          <w:color w:val="auto"/>
          <w:sz w:val="24"/>
          <w:szCs w:val="24"/>
        </w:rPr>
        <w:t xml:space="preserve"> 2006 Nr 204, str.1</w:t>
      </w:r>
      <w:r w:rsidR="0091263B">
        <w:rPr>
          <w:rFonts w:ascii="Arial" w:hAnsi="Arial" w:cs="Arial"/>
          <w:color w:val="auto"/>
          <w:sz w:val="24"/>
          <w:szCs w:val="24"/>
        </w:rPr>
        <w:t>)</w:t>
      </w:r>
      <w:r w:rsidR="0091263B">
        <w:rPr>
          <w:rFonts w:ascii="Arial" w:hAnsi="Arial" w:cs="Arial"/>
          <w:color w:val="auto"/>
          <w:sz w:val="24"/>
          <w:szCs w:val="24"/>
        </w:rPr>
        <w:t>;</w:t>
      </w:r>
    </w:p>
    <w:p w14:paraId="60EB6B60" w14:textId="3E0DDA9C" w:rsidR="0091312E" w:rsidRPr="00643AF7" w:rsidRDefault="00135DF7" w:rsidP="0019771E">
      <w:pPr>
        <w:pStyle w:val="Podtytu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43AF7">
        <w:rPr>
          <w:rFonts w:ascii="Arial" w:hAnsi="Arial" w:cs="Arial"/>
          <w:color w:val="auto"/>
          <w:sz w:val="24"/>
          <w:szCs w:val="24"/>
        </w:rPr>
        <w:t>Państwowy Fundusz Rehabilitacji Osób Niepełnosprawnych opracował wytyczne dla podmiotów gospodarczych w zakresie zapewniania spełniania wymagań dostępności produktów i usług. Dokument zawiera wskazówki, które pomogą przedsiębiorcom dostosować oferowane produkty i usługi do potrzeb osób z niepełnosprawnościami, zgodnie wymaganiami Polskiego Aktu o Dostępności. Szczegóły dostępne są w zakładce „Wytyczne i dobre praktyki” na stronie internetowej PFRON.</w:t>
      </w:r>
    </w:p>
    <w:p w14:paraId="65E478B1" w14:textId="575EE8AC" w:rsidR="00135DF7" w:rsidRPr="00135DF7" w:rsidRDefault="0019771E" w:rsidP="0019771E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Pr="005540B4">
          <w:rPr>
            <w:rStyle w:val="Hipercze"/>
            <w:rFonts w:ascii="Arial" w:hAnsi="Arial" w:cs="Arial"/>
            <w:sz w:val="24"/>
            <w:szCs w:val="24"/>
          </w:rPr>
          <w:t>https://dostepnosc.pfron.org.pl/dostepnosc-produktow-i-uslug/nadzor-rynku/wytyczne-i-dobre-praktyki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0411AEB" w14:textId="4CFA3D3D" w:rsidR="00C46E28" w:rsidRPr="00C46E28" w:rsidRDefault="00C46E28" w:rsidP="0019771E"/>
    <w:sectPr w:rsidR="00C46E28" w:rsidRPr="00C46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210"/>
    <w:multiLevelType w:val="hybridMultilevel"/>
    <w:tmpl w:val="493E4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1927"/>
    <w:multiLevelType w:val="multilevel"/>
    <w:tmpl w:val="525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04B01"/>
    <w:multiLevelType w:val="hybridMultilevel"/>
    <w:tmpl w:val="9E941D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72E3B"/>
    <w:multiLevelType w:val="hybridMultilevel"/>
    <w:tmpl w:val="ADFAD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95642"/>
    <w:multiLevelType w:val="hybridMultilevel"/>
    <w:tmpl w:val="D0F6F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071DB"/>
    <w:multiLevelType w:val="hybridMultilevel"/>
    <w:tmpl w:val="81F627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85322"/>
    <w:multiLevelType w:val="multilevel"/>
    <w:tmpl w:val="312233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57"/>
    <w:rsid w:val="0008132D"/>
    <w:rsid w:val="000F39CE"/>
    <w:rsid w:val="00135DF7"/>
    <w:rsid w:val="00142F2E"/>
    <w:rsid w:val="0019771E"/>
    <w:rsid w:val="001B5CDE"/>
    <w:rsid w:val="001B5E0B"/>
    <w:rsid w:val="001D792D"/>
    <w:rsid w:val="002A2F1C"/>
    <w:rsid w:val="002F5F5F"/>
    <w:rsid w:val="00347B46"/>
    <w:rsid w:val="003D2A4C"/>
    <w:rsid w:val="003E1E57"/>
    <w:rsid w:val="004D729E"/>
    <w:rsid w:val="00537BEE"/>
    <w:rsid w:val="00643AF7"/>
    <w:rsid w:val="0069691E"/>
    <w:rsid w:val="006A0812"/>
    <w:rsid w:val="006E1481"/>
    <w:rsid w:val="008D2A0B"/>
    <w:rsid w:val="0091263B"/>
    <w:rsid w:val="0091312E"/>
    <w:rsid w:val="0099332B"/>
    <w:rsid w:val="009B4D9C"/>
    <w:rsid w:val="009F15FB"/>
    <w:rsid w:val="00A42AE4"/>
    <w:rsid w:val="00C46E28"/>
    <w:rsid w:val="00D811BA"/>
    <w:rsid w:val="00E11BD7"/>
    <w:rsid w:val="00EB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448D"/>
  <w15:chartTrackingRefBased/>
  <w15:docId w15:val="{CA90081A-A817-40BF-B56D-1DB6A8D8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31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2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3E1E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E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E1E57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91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131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A2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0813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69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9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9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9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91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77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7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977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stepnosc.pfron.org.pl/dostepnosc-produktow-i-uslug/nadzor-rynku/wytyczne-i-dobre-prakty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0B01-B67B-4FA8-BADF-8D747D3E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WARDAK Iwona</dc:creator>
  <cp:keywords/>
  <dc:description/>
  <cp:lastModifiedBy>WARDAK Iwona</cp:lastModifiedBy>
  <cp:revision>3</cp:revision>
  <dcterms:created xsi:type="dcterms:W3CDTF">2026-09-15T12:36:00Z</dcterms:created>
  <dcterms:modified xsi:type="dcterms:W3CDTF">2026-09-15T12:42:00Z</dcterms:modified>
</cp:coreProperties>
</file>