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52"/>
        <w:gridCol w:w="2693"/>
        <w:gridCol w:w="10064"/>
      </w:tblGrid>
      <w:tr w:rsidR="00CB60D7" w:rsidRPr="00F85C3E" w14:paraId="5CF3A767" w14:textId="77777777" w:rsidTr="006B79F6">
        <w:trPr>
          <w:cantSplit/>
          <w:tblHeader/>
        </w:trPr>
        <w:tc>
          <w:tcPr>
            <w:tcW w:w="2552" w:type="dxa"/>
            <w:shd w:val="pct10" w:color="auto" w:fill="auto"/>
            <w:vAlign w:val="center"/>
          </w:tcPr>
          <w:p w14:paraId="5820EB94" w14:textId="16C3B833" w:rsidR="00CB60D7" w:rsidRPr="00827084" w:rsidRDefault="00CB60D7" w:rsidP="001D4D8D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b/>
                <w:sz w:val="16"/>
                <w:szCs w:val="16"/>
                <w:lang w:val="pl-PL"/>
              </w:rPr>
              <w:t xml:space="preserve">Wymagania Part-M </w:t>
            </w:r>
            <w:r w:rsidR="001D4D8D">
              <w:rPr>
                <w:rFonts w:cs="Arial"/>
                <w:b/>
                <w:sz w:val="16"/>
                <w:szCs w:val="16"/>
                <w:lang w:val="pl-PL"/>
              </w:rPr>
              <w:t xml:space="preserve">/ </w:t>
            </w:r>
            <w:r w:rsidRPr="00827084">
              <w:rPr>
                <w:rFonts w:cs="Arial"/>
                <w:b/>
                <w:sz w:val="16"/>
                <w:szCs w:val="16"/>
                <w:lang w:val="pl-PL"/>
              </w:rPr>
              <w:t>G, o ile dotyczą</w:t>
            </w:r>
          </w:p>
        </w:tc>
        <w:tc>
          <w:tcPr>
            <w:tcW w:w="2693" w:type="dxa"/>
            <w:shd w:val="pct10" w:color="auto" w:fill="auto"/>
            <w:vAlign w:val="center"/>
          </w:tcPr>
          <w:p w14:paraId="01FA84E1" w14:textId="7495E3B0" w:rsidR="00CB60D7" w:rsidRPr="00827084" w:rsidRDefault="00CB60D7" w:rsidP="00FE2357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b/>
                <w:sz w:val="16"/>
                <w:szCs w:val="16"/>
                <w:lang w:val="pl-PL"/>
              </w:rPr>
              <w:t xml:space="preserve">Wymagania Part-CAMO </w:t>
            </w:r>
          </w:p>
        </w:tc>
        <w:tc>
          <w:tcPr>
            <w:tcW w:w="10064" w:type="dxa"/>
            <w:shd w:val="pct10" w:color="auto" w:fill="auto"/>
            <w:vAlign w:val="center"/>
          </w:tcPr>
          <w:p w14:paraId="02C865BD" w14:textId="17776F81" w:rsidR="00CB60D7" w:rsidRPr="00827084" w:rsidRDefault="00CB60D7" w:rsidP="00C1789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>
              <w:rPr>
                <w:rFonts w:cs="Arial"/>
                <w:b/>
                <w:sz w:val="16"/>
                <w:szCs w:val="16"/>
                <w:lang w:val="pl-PL"/>
              </w:rPr>
              <w:t>Komentarz - dotyczy</w:t>
            </w:r>
            <w:r w:rsidRPr="00827084">
              <w:rPr>
                <w:rFonts w:cs="Arial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lang w:val="pl-PL"/>
              </w:rPr>
              <w:t xml:space="preserve">przypadku Part-CAMO z uznanymi </w:t>
            </w:r>
            <w:r w:rsidRPr="00827084">
              <w:rPr>
                <w:rFonts w:cs="Arial"/>
                <w:b/>
                <w:sz w:val="16"/>
                <w:szCs w:val="16"/>
                <w:lang w:val="pl-PL"/>
              </w:rPr>
              <w:t>prawami nabytymi</w:t>
            </w:r>
          </w:p>
        </w:tc>
      </w:tr>
      <w:tr w:rsidR="00CB60D7" w:rsidRPr="00F85C3E" w14:paraId="0F1DA215" w14:textId="77777777" w:rsidTr="006B79F6">
        <w:trPr>
          <w:cantSplit/>
          <w:trHeight w:val="139"/>
        </w:trPr>
        <w:tc>
          <w:tcPr>
            <w:tcW w:w="2552" w:type="dxa"/>
            <w:shd w:val="clear" w:color="auto" w:fill="FFFFFF" w:themeFill="background1"/>
            <w:vAlign w:val="center"/>
          </w:tcPr>
          <w:p w14:paraId="1F309B9C" w14:textId="5B9A8128" w:rsidR="00CB60D7" w:rsidRPr="00827084" w:rsidRDefault="00CB60D7" w:rsidP="00147705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M.A.702 - Stosowanie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78D712A" w14:textId="5F4838DC" w:rsidR="00CB60D7" w:rsidRPr="00827084" w:rsidRDefault="00CB60D7" w:rsidP="00147705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CAMO.A.115 – Wniosek o certyfikat organizacji</w:t>
            </w:r>
          </w:p>
        </w:tc>
        <w:tc>
          <w:tcPr>
            <w:tcW w:w="10064" w:type="dxa"/>
            <w:shd w:val="clear" w:color="auto" w:fill="FFFFFF" w:themeFill="background1"/>
            <w:vAlign w:val="center"/>
          </w:tcPr>
          <w:p w14:paraId="3DB41D4A" w14:textId="3369C553" w:rsidR="00CB60D7" w:rsidRPr="00827084" w:rsidRDefault="00CB60D7" w:rsidP="00822294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CAMO.A.115 lit. b) (1) jest nowym wymaganiem dla organizacji w zakresie przedstawiania wyników audytu wstępnego w odniesieniu do mających zastosowanie wymagań wraz z jego stosowaniem. Gdy organizacja ma uznane prawa nabyte do postanowień Part- CAMO, dostarczenie wyniku takiego audytu wstępnego nie jest obowiązkowe w momencie wydawania certyfikatu Part CAMO. </w:t>
            </w:r>
          </w:p>
          <w:p w14:paraId="41D47873" w14:textId="760FCE7A" w:rsidR="00CB60D7" w:rsidRPr="00827084" w:rsidRDefault="00CB60D7" w:rsidP="00E428CD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Jeżeli jeszcze nie wdrożona, organizacja powinna przedstawić właściwemu organowi procedurę opisującą sposób zarządzania zmianami niewymagającymi uprzedniej zgody i ich zgłaszania właściwemu organowi przed 24 września 2021 r. (patrz CAMO.A.130).</w:t>
            </w:r>
          </w:p>
        </w:tc>
      </w:tr>
      <w:tr w:rsidR="00CB60D7" w:rsidRPr="00F85C3E" w14:paraId="277BE294" w14:textId="77777777" w:rsidTr="006B79F6">
        <w:trPr>
          <w:cantSplit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14:paraId="7EDFABFC" w14:textId="281AE418" w:rsidR="00CB60D7" w:rsidRPr="00827084" w:rsidRDefault="00CB60D7" w:rsidP="00147705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Nie dotyczy – Nowe wymagania wprowadzone przez Part-CAMO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65D5D0C4" w14:textId="36085427" w:rsidR="00CB60D7" w:rsidRPr="00827084" w:rsidRDefault="00CB60D7" w:rsidP="00147705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CAMO.A.120 – Sposoby spełnienia</w:t>
            </w:r>
          </w:p>
        </w:tc>
        <w:tc>
          <w:tcPr>
            <w:tcW w:w="10064" w:type="dxa"/>
            <w:shd w:val="clear" w:color="auto" w:fill="DEEAF6" w:themeFill="accent1" w:themeFillTint="33"/>
            <w:vAlign w:val="center"/>
          </w:tcPr>
          <w:p w14:paraId="3E6AEFBC" w14:textId="5A5BD583" w:rsidR="00CB60D7" w:rsidRPr="00827084" w:rsidRDefault="00CB60D7" w:rsidP="00822294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CB60D7" w:rsidRPr="00F85C3E" w14:paraId="6EBD401F" w14:textId="77777777" w:rsidTr="006B79F6">
        <w:trPr>
          <w:cantSplit/>
        </w:trPr>
        <w:tc>
          <w:tcPr>
            <w:tcW w:w="2552" w:type="dxa"/>
            <w:shd w:val="clear" w:color="auto" w:fill="FFFFFF" w:themeFill="background1"/>
            <w:vAlign w:val="center"/>
          </w:tcPr>
          <w:p w14:paraId="56B01517" w14:textId="347AE16E" w:rsidR="00CB60D7" w:rsidRPr="00827084" w:rsidRDefault="00CB60D7" w:rsidP="00147705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M.A.703 – Rozszerzenie zatwierdzenia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C25FE94" w14:textId="74001159" w:rsidR="00CB60D7" w:rsidRPr="00827084" w:rsidRDefault="00CB60D7" w:rsidP="00147705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CAMO.A.125(a)/(b)/(c) – Warunki zatwierdzenia I uprawnienia organizacji</w:t>
            </w:r>
          </w:p>
        </w:tc>
        <w:tc>
          <w:tcPr>
            <w:tcW w:w="10064" w:type="dxa"/>
            <w:shd w:val="clear" w:color="auto" w:fill="FFFFFF" w:themeFill="background1"/>
            <w:vAlign w:val="center"/>
          </w:tcPr>
          <w:p w14:paraId="79989C9E" w14:textId="530D5796" w:rsidR="00CB60D7" w:rsidRPr="00827084" w:rsidRDefault="00CB60D7" w:rsidP="00AA39A2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CAMO.A.125 zawiera zarówno wymagania M.A.703 iM.A.711 (patrz linijka dedykowana M.A.711), M.A.711 ‘Włączono uprawnienia organizacji</w:t>
            </w:r>
            <w:r>
              <w:rPr>
                <w:rFonts w:cs="Arial"/>
                <w:sz w:val="16"/>
                <w:szCs w:val="16"/>
                <w:lang w:val="pl-PL"/>
              </w:rPr>
              <w:t>’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 (nowe punkty od d) do (f)) i zaktualizowano odpowiednie odniesienia. Jedynie niewielkie zmiany wprowadzono do tekstu pochodzącego z M.A.711, aby zaktualizować odniesienia i zastąpić „system jakości” „systemem zarządzania”. W dalszej części tekst jest zmieniony aby uwzględnić odniesienia Part-M/Part-ML dla rozszerzenia ARC (</w:t>
            </w:r>
            <w:proofErr w:type="spellStart"/>
            <w:r w:rsidRPr="00827084">
              <w:rPr>
                <w:rFonts w:cs="Arial"/>
                <w:sz w:val="16"/>
                <w:szCs w:val="16"/>
                <w:lang w:val="pl-PL"/>
              </w:rPr>
              <w:t>cf</w:t>
            </w:r>
            <w:proofErr w:type="spellEnd"/>
            <w:r w:rsidRPr="00827084">
              <w:rPr>
                <w:rFonts w:cs="Arial"/>
                <w:sz w:val="16"/>
                <w:szCs w:val="16"/>
                <w:lang w:val="pl-PL"/>
              </w:rPr>
              <w:t>. punkt (d)(4)) i dla wydania rekomendacji dla przeglądu zdatności do lotu przez właściwy organ (</w:t>
            </w:r>
            <w:proofErr w:type="spellStart"/>
            <w:r w:rsidRPr="00827084">
              <w:rPr>
                <w:rFonts w:cs="Arial"/>
                <w:sz w:val="16"/>
                <w:szCs w:val="16"/>
                <w:lang w:val="pl-PL"/>
              </w:rPr>
              <w:t>cf</w:t>
            </w:r>
            <w:proofErr w:type="spellEnd"/>
            <w:r w:rsidRPr="00827084">
              <w:rPr>
                <w:rFonts w:cs="Arial"/>
                <w:sz w:val="16"/>
                <w:szCs w:val="16"/>
                <w:lang w:val="pl-PL"/>
              </w:rPr>
              <w:t>. punkt (e)(2)).</w:t>
            </w:r>
          </w:p>
        </w:tc>
      </w:tr>
      <w:tr w:rsidR="00CB60D7" w:rsidRPr="00F85C3E" w14:paraId="4C2EFC01" w14:textId="77777777" w:rsidTr="006B79F6">
        <w:trPr>
          <w:cantSplit/>
        </w:trPr>
        <w:tc>
          <w:tcPr>
            <w:tcW w:w="2552" w:type="dxa"/>
            <w:shd w:val="clear" w:color="auto" w:fill="FFFFFF" w:themeFill="background1"/>
            <w:vAlign w:val="center"/>
          </w:tcPr>
          <w:p w14:paraId="6D51E6A9" w14:textId="417E3999" w:rsidR="00CB60D7" w:rsidRPr="00827084" w:rsidRDefault="00CB60D7" w:rsidP="00147705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M.A.711 – Uprawnienia organizacji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A0AD5E8" w14:textId="289018DE" w:rsidR="00CB60D7" w:rsidRPr="00827084" w:rsidRDefault="00CB60D7" w:rsidP="00147705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CAMO.A.125(d)/(e)/(f) – Warunki zatwierdzenia I uprawnienia organizacji</w:t>
            </w:r>
          </w:p>
        </w:tc>
        <w:tc>
          <w:tcPr>
            <w:tcW w:w="10064" w:type="dxa"/>
            <w:shd w:val="clear" w:color="auto" w:fill="FFFFFF" w:themeFill="background1"/>
            <w:vAlign w:val="center"/>
          </w:tcPr>
          <w:p w14:paraId="0CBD1082" w14:textId="788B52A0" w:rsidR="00CB60D7" w:rsidRPr="00827084" w:rsidRDefault="00CB60D7" w:rsidP="00822294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CB60D7" w:rsidRPr="00F85C3E" w14:paraId="6D50D31B" w14:textId="77777777" w:rsidTr="006B79F6">
        <w:trPr>
          <w:cantSplit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14:paraId="418695B8" w14:textId="503480D9" w:rsidR="00CB60D7" w:rsidRPr="00827084" w:rsidRDefault="00CB60D7" w:rsidP="00147705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M.A.713 – Zmiany w zatwierdzonej organizacji ciągłej zdatności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632A8823" w14:textId="74607FE7" w:rsidR="00CB60D7" w:rsidRPr="00827084" w:rsidRDefault="00CB60D7" w:rsidP="00147705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CAMO.A.130 – Zmiany w organizacji</w:t>
            </w:r>
          </w:p>
        </w:tc>
        <w:tc>
          <w:tcPr>
            <w:tcW w:w="10064" w:type="dxa"/>
            <w:shd w:val="clear" w:color="auto" w:fill="DEEAF6" w:themeFill="accent1" w:themeFillTint="33"/>
            <w:vAlign w:val="center"/>
          </w:tcPr>
          <w:p w14:paraId="2876B6D5" w14:textId="0AC079CA" w:rsidR="00CB60D7" w:rsidRPr="00827084" w:rsidRDefault="00CB60D7" w:rsidP="00E63E4B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CAMO.A.130 wprowadza termin „zmiany niewymagające uprzedniej zgody”, zastępując „zatwierdzenie pośrednie”. Zmiany niewymagające uprzedniej zgody będą zarządzane zgodnie z ustaleniami między organizacją a właściwym organem Organizacja przed 24 września 2021 r. powinna zmienić obecną charakterystykę w celu uwzględnienia CAMO.A.130. </w:t>
            </w:r>
          </w:p>
        </w:tc>
      </w:tr>
      <w:tr w:rsidR="00CB60D7" w:rsidRPr="00F85C3E" w14:paraId="55958F2A" w14:textId="77777777" w:rsidTr="006B79F6">
        <w:trPr>
          <w:cantSplit/>
        </w:trPr>
        <w:tc>
          <w:tcPr>
            <w:tcW w:w="2552" w:type="dxa"/>
            <w:shd w:val="clear" w:color="auto" w:fill="FFFFFF" w:themeFill="background1"/>
            <w:vAlign w:val="center"/>
          </w:tcPr>
          <w:p w14:paraId="50BFA8D2" w14:textId="7535D178" w:rsidR="00CB60D7" w:rsidRPr="00827084" w:rsidRDefault="00CB60D7" w:rsidP="00147705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M.A.715 – Ciągła ważność zatwierdzenia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3BC5D6C" w14:textId="6739A365" w:rsidR="00CB60D7" w:rsidRPr="00827084" w:rsidRDefault="00CB60D7" w:rsidP="00147705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CAMO.A.135 – Ciągła ważność </w:t>
            </w:r>
          </w:p>
        </w:tc>
        <w:tc>
          <w:tcPr>
            <w:tcW w:w="10064" w:type="dxa"/>
            <w:shd w:val="clear" w:color="auto" w:fill="FFFFFF" w:themeFill="background1"/>
            <w:vAlign w:val="center"/>
          </w:tcPr>
          <w:p w14:paraId="0AFAE0FA" w14:textId="7703EC7F" w:rsidR="00CB60D7" w:rsidRPr="00827084" w:rsidRDefault="00CB60D7" w:rsidP="000C5E4E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Wprowadzane są zmiany w celu aktualizacji </w:t>
            </w:r>
            <w:r>
              <w:rPr>
                <w:rFonts w:cs="Arial"/>
                <w:sz w:val="16"/>
                <w:szCs w:val="16"/>
                <w:lang w:val="pl-PL"/>
              </w:rPr>
              <w:t>przy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wołań  i zapewnienia spójności w całym nowym Part-CAMO.</w:t>
            </w:r>
          </w:p>
        </w:tc>
      </w:tr>
      <w:tr w:rsidR="00CB60D7" w:rsidRPr="00F85C3E" w14:paraId="17FBCA49" w14:textId="77777777" w:rsidTr="006B79F6">
        <w:trPr>
          <w:cantSplit/>
        </w:trPr>
        <w:tc>
          <w:tcPr>
            <w:tcW w:w="2552" w:type="dxa"/>
            <w:shd w:val="clear" w:color="auto" w:fill="FFFFFF" w:themeFill="background1"/>
            <w:vAlign w:val="center"/>
          </w:tcPr>
          <w:p w14:paraId="65A22EE0" w14:textId="7541B89F" w:rsidR="00CB60D7" w:rsidRPr="00827084" w:rsidRDefault="00CB60D7" w:rsidP="00147705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Nie dotyczy – Nowe wymagania wprowadzone przez Part-CAMO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9ED2171" w14:textId="54AA3ECA" w:rsidR="00CB60D7" w:rsidRPr="00827084" w:rsidRDefault="00CB60D7" w:rsidP="00147705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CAMO.A.140 - Dostęp</w:t>
            </w:r>
          </w:p>
        </w:tc>
        <w:tc>
          <w:tcPr>
            <w:tcW w:w="10064" w:type="dxa"/>
            <w:shd w:val="clear" w:color="auto" w:fill="FFFFFF" w:themeFill="background1"/>
            <w:vAlign w:val="center"/>
          </w:tcPr>
          <w:p w14:paraId="686579BA" w14:textId="4E6D4B83" w:rsidR="00CB60D7" w:rsidRPr="00827084" w:rsidRDefault="00CB60D7" w:rsidP="000C5E4E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Dodano nowy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 CAMO.A.140 Dostęp. Zawiera wymagania dotyczące przyznania dostępu właściwemu organowi w celu ustalenia ciągłej zgodności.</w:t>
            </w:r>
          </w:p>
        </w:tc>
      </w:tr>
      <w:tr w:rsidR="00CB60D7" w:rsidRPr="00F85C3E" w14:paraId="14B4EA28" w14:textId="77777777" w:rsidTr="006B79F6">
        <w:trPr>
          <w:cantSplit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14:paraId="318C13B5" w14:textId="46613FDF" w:rsidR="00CB60D7" w:rsidRPr="00827084" w:rsidRDefault="00CB60D7" w:rsidP="00147705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M.A.716 - Niezgodności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65DCE1A4" w14:textId="4DA4980A" w:rsidR="00CB60D7" w:rsidRPr="00827084" w:rsidRDefault="00CB60D7" w:rsidP="00147705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CAMO.A.150 – Niezgodności</w:t>
            </w:r>
          </w:p>
        </w:tc>
        <w:tc>
          <w:tcPr>
            <w:tcW w:w="10064" w:type="dxa"/>
            <w:shd w:val="clear" w:color="auto" w:fill="DEEAF6" w:themeFill="accent1" w:themeFillTint="33"/>
            <w:vAlign w:val="center"/>
          </w:tcPr>
          <w:p w14:paraId="23D09A1C" w14:textId="751CE216" w:rsidR="00CB60D7" w:rsidRPr="00827084" w:rsidRDefault="00CB60D7" w:rsidP="000C5E4E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CAMO.A.150 dodaje wymóg identyfikacji rzeczywistych przyczyn niezgodności i czynników przyczyniających się do powstania niezgodności. Organizacja, przed 24 września 2021r., powinna zmienić aktualną charakterystyką, aby uwzględnić CAMO.A.150(a)(1).</w:t>
            </w:r>
          </w:p>
        </w:tc>
      </w:tr>
      <w:tr w:rsidR="00CB60D7" w:rsidRPr="00F85C3E" w14:paraId="32F65D9C" w14:textId="77777777" w:rsidTr="006B79F6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14:paraId="7B87CD08" w14:textId="2567A129" w:rsidR="00CB60D7" w:rsidRPr="00827084" w:rsidRDefault="00CB60D7" w:rsidP="00147705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Nie dotyczy –</w:t>
            </w:r>
            <w:r w:rsidRPr="00827084">
              <w:rPr>
                <w:lang w:val="pl-PL"/>
              </w:rPr>
              <w:t xml:space="preserve"> 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nieprecyzyjne wymaganie w Part-MG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3D19735" w14:textId="7482AF2B" w:rsidR="00CB60D7" w:rsidRPr="00827084" w:rsidRDefault="00CB60D7" w:rsidP="00147705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CAMO.A.155 – Natychmiastowa reakcja na problem bezpieczeństwa</w:t>
            </w:r>
          </w:p>
        </w:tc>
        <w:tc>
          <w:tcPr>
            <w:tcW w:w="10064" w:type="dxa"/>
            <w:shd w:val="clear" w:color="auto" w:fill="auto"/>
            <w:vAlign w:val="center"/>
          </w:tcPr>
          <w:p w14:paraId="6AA40F93" w14:textId="09040D40" w:rsidR="00CB60D7" w:rsidRPr="00827084" w:rsidRDefault="00CB60D7" w:rsidP="00F0400B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W CAMO.A.155 dodany nowy wymóg w celu wdrożenia wszelkich środków bezpieczeństwa nakazanych przez właściwy organ oraz wszelkich odpowiednich obowiązkowych informacji dotyczących bezpieczeństwa wydanych przez Agencję. </w:t>
            </w:r>
          </w:p>
        </w:tc>
      </w:tr>
      <w:tr w:rsidR="00CB60D7" w:rsidRPr="00F85C3E" w14:paraId="0A9D3071" w14:textId="77777777" w:rsidTr="006B79F6">
        <w:trPr>
          <w:cantSplit/>
        </w:trPr>
        <w:tc>
          <w:tcPr>
            <w:tcW w:w="2552" w:type="dxa"/>
            <w:shd w:val="clear" w:color="auto" w:fill="FFFFFF" w:themeFill="background1"/>
            <w:vAlign w:val="center"/>
          </w:tcPr>
          <w:p w14:paraId="3071F008" w14:textId="07B4A979" w:rsidR="00CB60D7" w:rsidRPr="00827084" w:rsidRDefault="00CB60D7" w:rsidP="00147705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Nie dotyczy – Dotychczasowy wymóg M.A.202 przeniesiony do Part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noBreakHyphen/>
              <w:t>CAMO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E122BE4" w14:textId="57DCE656" w:rsidR="00CB60D7" w:rsidRPr="00827084" w:rsidRDefault="00CB60D7" w:rsidP="00147705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CAMO.A.160 – Zgłaszanie zdarzeń</w:t>
            </w:r>
          </w:p>
        </w:tc>
        <w:tc>
          <w:tcPr>
            <w:tcW w:w="10064" w:type="dxa"/>
            <w:shd w:val="clear" w:color="auto" w:fill="FFFFFF" w:themeFill="background1"/>
            <w:vAlign w:val="center"/>
          </w:tcPr>
          <w:p w14:paraId="3A2A7A28" w14:textId="63EED18E" w:rsidR="00CB60D7" w:rsidRPr="00827084" w:rsidRDefault="00CB60D7" w:rsidP="00F0400B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Dodany nowy CAMO.A.160 Zgłaszanie zdarzeń aby wprowadzić wymóg zgłaszania zdarzeń dotyczących CAMO. </w:t>
            </w:r>
          </w:p>
        </w:tc>
      </w:tr>
      <w:tr w:rsidR="00CB60D7" w:rsidRPr="00F85C3E" w14:paraId="37EF7850" w14:textId="77777777" w:rsidTr="006B79F6">
        <w:trPr>
          <w:cantSplit/>
          <w:trHeight w:val="686"/>
        </w:trPr>
        <w:tc>
          <w:tcPr>
            <w:tcW w:w="2552" w:type="dxa"/>
            <w:vMerge w:val="restart"/>
            <w:shd w:val="clear" w:color="auto" w:fill="DEEAF6" w:themeFill="accent1" w:themeFillTint="33"/>
            <w:vAlign w:val="center"/>
          </w:tcPr>
          <w:p w14:paraId="4B5825B5" w14:textId="6CDA69A0" w:rsidR="00CB60D7" w:rsidRPr="00827084" w:rsidRDefault="00CB60D7" w:rsidP="00147705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M.A.712 – System jakości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0FAB759C" w14:textId="7317C664" w:rsidR="00CB60D7" w:rsidRPr="00827084" w:rsidRDefault="00CB60D7" w:rsidP="00147705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</w:p>
          <w:p w14:paraId="3FCBA7E1" w14:textId="4B35F42C" w:rsidR="00CB60D7" w:rsidRPr="00827084" w:rsidRDefault="00CB60D7" w:rsidP="00147705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CAMO.A.200 – System zarządzania</w:t>
            </w:r>
          </w:p>
          <w:p w14:paraId="02F44426" w14:textId="77777777" w:rsidR="00CB60D7" w:rsidRPr="00827084" w:rsidRDefault="00CB60D7" w:rsidP="00147705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10064" w:type="dxa"/>
            <w:shd w:val="clear" w:color="auto" w:fill="DEEAF6" w:themeFill="accent1" w:themeFillTint="33"/>
            <w:vAlign w:val="center"/>
          </w:tcPr>
          <w:p w14:paraId="5F5DC60C" w14:textId="29976A8C" w:rsidR="00CB60D7" w:rsidRPr="00827084" w:rsidRDefault="00CB60D7" w:rsidP="00822294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Organizacja powinna zmienić aktualnie obowiązujące procedury dotyczące system</w:t>
            </w:r>
            <w:r>
              <w:rPr>
                <w:rFonts w:cs="Arial"/>
                <w:sz w:val="16"/>
                <w:szCs w:val="16"/>
                <w:lang w:val="pl-PL"/>
              </w:rPr>
              <w:t>u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 jakości, aby uwzględnić CAMO.A.200 i CAMO.A.202. Porównując do M.A.712 główne nowości to:</w:t>
            </w:r>
          </w:p>
          <w:p w14:paraId="2B839FF7" w14:textId="6D1F91A6" w:rsidR="00CB60D7" w:rsidRPr="00827084" w:rsidRDefault="00CB60D7" w:rsidP="0082229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CAMO.A.200(a)(2): Polityka bezpieczeństwa.</w:t>
            </w:r>
          </w:p>
          <w:p w14:paraId="739C85E4" w14:textId="5E44B03B" w:rsidR="00CB60D7" w:rsidRPr="00827084" w:rsidRDefault="00CB60D7" w:rsidP="006C38F9">
            <w:pPr>
              <w:pStyle w:val="Akapitzlist"/>
              <w:numPr>
                <w:ilvl w:val="0"/>
                <w:numId w:val="35"/>
              </w:numPr>
              <w:spacing w:after="0" w:line="240" w:lineRule="auto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CAMO.A.200(a)(3): Identyfikacja zagrożeń</w:t>
            </w:r>
            <w:r>
              <w:rPr>
                <w:rFonts w:cs="Arial"/>
                <w:sz w:val="16"/>
                <w:szCs w:val="16"/>
                <w:lang w:val="pl-PL"/>
              </w:rPr>
              <w:t xml:space="preserve"> dla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 bezpieczeństwa lotnictwa i zarządzanie związanym z tym ryzykiem.</w:t>
            </w:r>
          </w:p>
          <w:p w14:paraId="0FEAA603" w14:textId="057182AF" w:rsidR="00CB60D7" w:rsidRPr="00F0400B" w:rsidRDefault="00CB60D7" w:rsidP="000C5E4E">
            <w:pPr>
              <w:pStyle w:val="Akapitzlist"/>
              <w:numPr>
                <w:ilvl w:val="0"/>
                <w:numId w:val="35"/>
              </w:numPr>
              <w:spacing w:after="0" w:line="240" w:lineRule="auto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CAMO.A.200(a)(5): dokumentacja wszystkich kluczowych procesów system</w:t>
            </w:r>
            <w:r>
              <w:rPr>
                <w:rFonts w:cs="Arial"/>
                <w:sz w:val="16"/>
                <w:szCs w:val="16"/>
                <w:lang w:val="pl-PL"/>
              </w:rPr>
              <w:t>u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 zarządzania.</w:t>
            </w:r>
          </w:p>
        </w:tc>
      </w:tr>
      <w:tr w:rsidR="00CB60D7" w:rsidRPr="00F85C3E" w14:paraId="45F1906A" w14:textId="77777777" w:rsidTr="006B79F6">
        <w:trPr>
          <w:cantSplit/>
          <w:trHeight w:val="655"/>
        </w:trPr>
        <w:tc>
          <w:tcPr>
            <w:tcW w:w="2552" w:type="dxa"/>
            <w:vMerge/>
            <w:shd w:val="clear" w:color="auto" w:fill="DEEAF6" w:themeFill="accent1" w:themeFillTint="33"/>
            <w:vAlign w:val="center"/>
          </w:tcPr>
          <w:p w14:paraId="78E769E1" w14:textId="77777777" w:rsidR="00CB60D7" w:rsidRPr="00827084" w:rsidRDefault="00CB60D7" w:rsidP="00147705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60D5CE41" w14:textId="3F41A3F3" w:rsidR="00CB60D7" w:rsidRPr="00827084" w:rsidRDefault="00CB60D7" w:rsidP="00147705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CAMO.A.202 – Wewnętrzny system raportowania bezpieczeństwa</w:t>
            </w:r>
          </w:p>
        </w:tc>
        <w:tc>
          <w:tcPr>
            <w:tcW w:w="10064" w:type="dxa"/>
            <w:shd w:val="clear" w:color="auto" w:fill="DEEAF6" w:themeFill="accent1" w:themeFillTint="33"/>
            <w:vAlign w:val="center"/>
          </w:tcPr>
          <w:p w14:paraId="06BE19D4" w14:textId="2691B7D6" w:rsidR="00CB60D7" w:rsidRPr="00827084" w:rsidRDefault="00CB60D7" w:rsidP="000C5E4E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Dodany nowy CAMO.A.202 Wewnętrzny system raportowania bezpieczeństwa w celu stworzenie wewnętrznego systemu raportowania wspierającego identyfikację zagrożeń w organizacji i procesów zarządzania ryzykiem w zakresie bezpieczeństwa oraz zwiększając kulturę bezpieczeństwa. Wewnętrzny system raportowania powinien być również dostępny dla organizacji pracujących w systemie zarządzania CAMO. </w:t>
            </w:r>
            <w:r>
              <w:rPr>
                <w:rFonts w:cs="Arial"/>
                <w:sz w:val="16"/>
                <w:szCs w:val="16"/>
                <w:lang w:val="pl-PL"/>
              </w:rPr>
              <w:t xml:space="preserve"> S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tanowi również podstawę do ustanowienia obowiązkowego i dobrowolnego zgłaszania zdarzeń zgodnie z wymogami rozporządzenia (EU) No 376/2014.</w:t>
            </w:r>
          </w:p>
        </w:tc>
      </w:tr>
      <w:tr w:rsidR="00CB60D7" w:rsidRPr="00F85C3E" w14:paraId="05BDF05A" w14:textId="77777777" w:rsidTr="006B79F6">
        <w:trPr>
          <w:cantSplit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14:paraId="5F3E0766" w14:textId="2A24AE9C" w:rsidR="00CB60D7" w:rsidRPr="00827084" w:rsidRDefault="00CB60D7" w:rsidP="00147705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lastRenderedPageBreak/>
              <w:t>Nie dotyczy - Nowe wymagania wprowadzone przez Part-CAMO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69AECC8A" w14:textId="0AE8E8D0" w:rsidR="00CB60D7" w:rsidRPr="00827084" w:rsidRDefault="00CB60D7" w:rsidP="00147705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CAMO.A.205 – Umowy i podwykonawstwo</w:t>
            </w:r>
          </w:p>
        </w:tc>
        <w:tc>
          <w:tcPr>
            <w:tcW w:w="10064" w:type="dxa"/>
            <w:shd w:val="clear" w:color="auto" w:fill="DEEAF6" w:themeFill="accent1" w:themeFillTint="33"/>
            <w:vAlign w:val="center"/>
          </w:tcPr>
          <w:p w14:paraId="69E4B343" w14:textId="7C8C0C2C" w:rsidR="00CB60D7" w:rsidRPr="00827084" w:rsidRDefault="00CB60D7" w:rsidP="00822294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Dodano nowy CAMO.A.205 Umowy i podwykonawstwo w celu doprecyzowania odpowiedzialności CAMO w celu zapewnienia, że wszelkie umowy (obsługa techniczna) lub podwykonawstwo (określone działania związane z zarządzaniem ciągłą zdatnością do lotu) są zgodne z obowiązującymi wymaganiami. W tym kontekście ważne jest wyjaśnienie, że termin „podwykonawstwo” obejmuje przypadki, w których organizacja będąca stroną umowy jest sama zatwierdzona jako Part-CAMO lub Part-CAO, oraz przypadki, w których taka organizacja nie jest zatwierdzona jako Part-CAMO lub Part- CAO. Wszelkie usługi związane z zarządzaniem ciągłą zdatnością do lotu świadczone przez strony trzecie należy uznać za „podwykonawstwo w ramach systemu zarządzania” do celów Part-CAMO. </w:t>
            </w:r>
          </w:p>
        </w:tc>
      </w:tr>
      <w:tr w:rsidR="00CB60D7" w:rsidRPr="00F85C3E" w14:paraId="501ADDB6" w14:textId="77777777" w:rsidTr="006B79F6">
        <w:trPr>
          <w:cantSplit/>
        </w:trPr>
        <w:tc>
          <w:tcPr>
            <w:tcW w:w="2552" w:type="dxa"/>
            <w:shd w:val="clear" w:color="auto" w:fill="FFFFFF" w:themeFill="background1"/>
            <w:vAlign w:val="center"/>
          </w:tcPr>
          <w:p w14:paraId="62BA6C75" w14:textId="41BBFD69" w:rsidR="00CB60D7" w:rsidRPr="00827084" w:rsidRDefault="00CB60D7" w:rsidP="00147705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M.A.705 - Obiekty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4DFB473" w14:textId="19B736E0" w:rsidR="00CB60D7" w:rsidRPr="00827084" w:rsidRDefault="00CB60D7" w:rsidP="00147705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CAMO.A.215 - Obiekty</w:t>
            </w:r>
          </w:p>
        </w:tc>
        <w:tc>
          <w:tcPr>
            <w:tcW w:w="10064" w:type="dxa"/>
            <w:shd w:val="clear" w:color="auto" w:fill="FFFFFF" w:themeFill="background1"/>
            <w:vAlign w:val="center"/>
          </w:tcPr>
          <w:p w14:paraId="351A617E" w14:textId="39708589" w:rsidR="00CB60D7" w:rsidRPr="00827084" w:rsidRDefault="00CB60D7" w:rsidP="00822294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CB60D7" w:rsidRPr="00F85C3E" w14:paraId="13EC6821" w14:textId="77777777" w:rsidTr="006B79F6">
        <w:trPr>
          <w:cantSplit/>
        </w:trPr>
        <w:tc>
          <w:tcPr>
            <w:tcW w:w="2552" w:type="dxa"/>
            <w:shd w:val="clear" w:color="auto" w:fill="FFFFFF" w:themeFill="background1"/>
            <w:vAlign w:val="center"/>
          </w:tcPr>
          <w:p w14:paraId="31B87F23" w14:textId="22D21B0A" w:rsidR="00CB60D7" w:rsidRPr="00827084" w:rsidRDefault="00CB60D7" w:rsidP="00147705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M.A.714(a)(1)/(a)(3)/(a)(4)/(a)(5)/(a)(6)/(f)/(e) – Przechowywanie dokumentacji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DF22A66" w14:textId="1988F750" w:rsidR="00CB60D7" w:rsidRPr="00827084" w:rsidRDefault="00CB60D7" w:rsidP="00147705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CAMO.A.220(a)(1)/(a)(3)/(a)(4)/(a)(6)/(d)/(f) – Przechowywanie dokumentacji</w:t>
            </w:r>
          </w:p>
        </w:tc>
        <w:tc>
          <w:tcPr>
            <w:tcW w:w="10064" w:type="dxa"/>
            <w:shd w:val="clear" w:color="auto" w:fill="FFFFFF" w:themeFill="background1"/>
            <w:vAlign w:val="center"/>
          </w:tcPr>
          <w:p w14:paraId="2EF26C68" w14:textId="37DDD984" w:rsidR="00CB60D7" w:rsidRPr="00827084" w:rsidRDefault="00CB60D7" w:rsidP="00822294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Czas przechowywania dokumentacji związanej ze statkiem powietrznym został zmieniony na 3 lata po trwałym przeniesieniu odpowiedzialności za statek powietrzny, aby dostosować go do ważności certyfikatu przeglądu zdatności do lotu (ARC) i 1 rok dla statku powietrznego trwale wycofanego z użytkowania.</w:t>
            </w:r>
          </w:p>
          <w:p w14:paraId="253596F1" w14:textId="69C336A8" w:rsidR="00CB60D7" w:rsidRPr="00827084" w:rsidRDefault="00CB60D7" w:rsidP="00055467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Ponadto czas przechowywania dokumentacji dla personelu po opuszczeniu przez osobę organizacji wynosi 3 lata. Zapewni to, że dla każdego wydanego ARC, zapisy personelu pozostaną dostępne przez cały okres ważności ARC, w tym </w:t>
            </w:r>
            <w:r>
              <w:rPr>
                <w:rFonts w:cs="Arial"/>
                <w:sz w:val="16"/>
                <w:szCs w:val="16"/>
                <w:lang w:val="pl-PL"/>
              </w:rPr>
              <w:t xml:space="preserve">również 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w przypadku, gdy osoba opuściła CAMO wkrótce po wydaniu ARC.</w:t>
            </w:r>
            <w:r>
              <w:rPr>
                <w:rFonts w:cs="Arial"/>
                <w:sz w:val="16"/>
                <w:szCs w:val="16"/>
                <w:lang w:val="pl-PL"/>
              </w:rPr>
              <w:t xml:space="preserve"> </w:t>
            </w:r>
          </w:p>
        </w:tc>
      </w:tr>
      <w:tr w:rsidR="00CB60D7" w:rsidRPr="00F85C3E" w14:paraId="50E6E3AC" w14:textId="77777777" w:rsidTr="006B79F6">
        <w:trPr>
          <w:cantSplit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14:paraId="6F6385E3" w14:textId="13B0BBDB" w:rsidR="00CB60D7" w:rsidRPr="00827084" w:rsidRDefault="00CB60D7" w:rsidP="00147705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Nie dotyczy – Nowe wymagania wprowadzone przez Part-CAMO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581455BE" w14:textId="15966B56" w:rsidR="00CB60D7" w:rsidRPr="00827084" w:rsidRDefault="00CB60D7" w:rsidP="00147705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CAMO.A.220(a)(2)/(a)(5)/(b)/(e) – Przechowywanie dokumentacji</w:t>
            </w:r>
          </w:p>
        </w:tc>
        <w:tc>
          <w:tcPr>
            <w:tcW w:w="10064" w:type="dxa"/>
            <w:shd w:val="clear" w:color="auto" w:fill="DEEAF6" w:themeFill="accent1" w:themeFillTint="33"/>
            <w:vAlign w:val="center"/>
          </w:tcPr>
          <w:p w14:paraId="14BDD025" w14:textId="1D916713" w:rsidR="00CB60D7" w:rsidRPr="00827084" w:rsidRDefault="00CB60D7" w:rsidP="005000A4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CAMO.A.220 Przechowywanie dokumentacji obejmuje system zarządzania-. Wprowadzono pięcioletni okres przechowywania dokumentacji związanej z systemem zarządzania (taki sam czas przechowywania dokumentacji dotyczy operacji lotniczych i załóg lotniczych). Ponadto organizacja rejestruje wszystkie szczegóły wykonanych prac, a format dokumentacji określa się w podręczniku organizacji.</w:t>
            </w:r>
          </w:p>
        </w:tc>
      </w:tr>
      <w:tr w:rsidR="00CB60D7" w:rsidRPr="00F85C3E" w14:paraId="072FC763" w14:textId="77777777" w:rsidTr="006B79F6">
        <w:trPr>
          <w:cantSplit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14:paraId="44B91B38" w14:textId="4C8B2572" w:rsidR="00CB60D7" w:rsidRPr="00827084" w:rsidRDefault="00CB60D7" w:rsidP="00147705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M.A.706(h) – Personel </w:t>
            </w:r>
          </w:p>
          <w:p w14:paraId="0C56161A" w14:textId="1B4493AA" w:rsidR="00CB60D7" w:rsidRPr="00827084" w:rsidRDefault="00CB60D7" w:rsidP="00147705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M.A.707(e) – Personel przeglądu zdatności do lotu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5D9AA65B" w14:textId="1629D600" w:rsidR="00CB60D7" w:rsidRPr="00827084" w:rsidRDefault="00CB60D7" w:rsidP="00147705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CAMO.A.220(c) – Przechowywanie dokumentacji</w:t>
            </w:r>
          </w:p>
        </w:tc>
        <w:tc>
          <w:tcPr>
            <w:tcW w:w="10064" w:type="dxa"/>
            <w:shd w:val="clear" w:color="auto" w:fill="DEEAF6" w:themeFill="accent1" w:themeFillTint="33"/>
            <w:vAlign w:val="center"/>
          </w:tcPr>
          <w:p w14:paraId="0C0717FC" w14:textId="6F76839C" w:rsidR="00CB60D7" w:rsidRPr="00827084" w:rsidRDefault="00CB60D7" w:rsidP="00F0400B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CAMO.A.220 Przechowywanie dokumentacji obejmuje przechowywanie dokumentacji związanej z personelem. Dokumentacja związana z personelem (kwalifikacje i doświadczenie) obejmuje personel zaangażowany w zarządzanie bezpieczeństwem i jest przechowywana do 3 lat po opuszczeniu organizacji przez osobę. </w:t>
            </w:r>
          </w:p>
        </w:tc>
      </w:tr>
      <w:tr w:rsidR="00CB60D7" w:rsidRPr="00F85C3E" w14:paraId="6267B959" w14:textId="77777777" w:rsidTr="006B79F6">
        <w:trPr>
          <w:cantSplit/>
        </w:trPr>
        <w:tc>
          <w:tcPr>
            <w:tcW w:w="2552" w:type="dxa"/>
            <w:shd w:val="clear" w:color="auto" w:fill="FFFFFF" w:themeFill="background1"/>
            <w:vAlign w:val="center"/>
          </w:tcPr>
          <w:p w14:paraId="4F00D437" w14:textId="3CC816EB" w:rsidR="00CB60D7" w:rsidRPr="00827084" w:rsidRDefault="00CB60D7" w:rsidP="00147705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M.A.707(e) – Personel przeglądu zdatności do lotu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DDA251C" w14:textId="45B4E087" w:rsidR="00CB60D7" w:rsidRPr="00827084" w:rsidRDefault="00CB60D7" w:rsidP="00147705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CAMO.A.220(c)(1)(ii)/(2)/(3) – Przechowywanie dokumentacji</w:t>
            </w:r>
          </w:p>
        </w:tc>
        <w:tc>
          <w:tcPr>
            <w:tcW w:w="10064" w:type="dxa"/>
            <w:shd w:val="clear" w:color="auto" w:fill="FFFFFF" w:themeFill="background1"/>
            <w:vAlign w:val="center"/>
          </w:tcPr>
          <w:p w14:paraId="64CE88EC" w14:textId="3CA8CDBE" w:rsidR="00CB60D7" w:rsidRPr="00827084" w:rsidRDefault="00CB60D7" w:rsidP="005000A4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CB60D7" w:rsidRPr="00F85C3E" w14:paraId="5DFFD85E" w14:textId="77777777" w:rsidTr="006B79F6">
        <w:trPr>
          <w:cantSplit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14:paraId="403E6F96" w14:textId="1E49BAF7" w:rsidR="00CB60D7" w:rsidRPr="00827084" w:rsidRDefault="00CB60D7" w:rsidP="00147705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M.A.704 – Charakterystyka zarządzania ciągłą zdatnością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364BA8AE" w14:textId="415B6D1F" w:rsidR="00CB60D7" w:rsidRPr="00827084" w:rsidRDefault="00CB60D7" w:rsidP="00147705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CAMO.A.300 – Charakterystyka zarządzania ciągłą zdatnością</w:t>
            </w:r>
          </w:p>
        </w:tc>
        <w:tc>
          <w:tcPr>
            <w:tcW w:w="10064" w:type="dxa"/>
            <w:shd w:val="clear" w:color="auto" w:fill="DEEAF6" w:themeFill="accent1" w:themeFillTint="33"/>
            <w:vAlign w:val="center"/>
          </w:tcPr>
          <w:p w14:paraId="22CE8BEA" w14:textId="07F49DA2" w:rsidR="00CB60D7" w:rsidRPr="00827084" w:rsidRDefault="00CB60D7" w:rsidP="00822294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CAMO.A.300 obejmuj</w:t>
            </w:r>
            <w:r>
              <w:rPr>
                <w:rFonts w:cs="Arial"/>
                <w:sz w:val="16"/>
                <w:szCs w:val="16"/>
                <w:lang w:val="pl-PL"/>
              </w:rPr>
              <w:t>e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 dodatkowe elementy związane z systemem zarządzania, takie jak: </w:t>
            </w:r>
          </w:p>
          <w:p w14:paraId="183EFF04" w14:textId="1D91DCC2" w:rsidR="00CB60D7" w:rsidRPr="00827084" w:rsidRDefault="00CB60D7" w:rsidP="00822294">
            <w:pPr>
              <w:pStyle w:val="Akapitzlist"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politykę bezpieczeństwa, </w:t>
            </w:r>
          </w:p>
          <w:p w14:paraId="43C9F254" w14:textId="4B550E28" w:rsidR="00CB60D7" w:rsidRPr="00827084" w:rsidRDefault="00CB60D7" w:rsidP="005000A4">
            <w:pPr>
              <w:pStyle w:val="Akapitzlist"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 opis wewnętrznego systemu raportowania bezpieczeństwa (CAMO.A.202), </w:t>
            </w:r>
          </w:p>
          <w:p w14:paraId="35624AFF" w14:textId="363BCC59" w:rsidR="00CB60D7" w:rsidRPr="00827084" w:rsidRDefault="00CB60D7" w:rsidP="005000A4">
            <w:pPr>
              <w:pStyle w:val="Akapitzlist"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ogólny opis, w jaki sposób organizacja zapewnia dostępność personelu (CAMO.A.305(d)), </w:t>
            </w:r>
          </w:p>
          <w:p w14:paraId="16E3E13F" w14:textId="18FCB1A6" w:rsidR="00CB60D7" w:rsidRPr="00827084" w:rsidRDefault="00CB60D7" w:rsidP="005000A4">
            <w:pPr>
              <w:pStyle w:val="Akapitzlist"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procedurę określającą zakres zmian niewymagających uprzedniej zgody oraz opisującą sposób zarządzania i powiadamiania o takich zmianach (CAMO.A.115(b) i CAMO.A.130(c)), procedury określające, w jaki sposób organizacja kontroluje wszelkie zadania zakontraktowane lub zlecone podwykonawcom, w tym zakontraktowaną obsługę (CAMO.A.315(c)),</w:t>
            </w:r>
          </w:p>
          <w:p w14:paraId="3F44E1BD" w14:textId="1C7A2367" w:rsidR="00CB60D7" w:rsidRPr="00827084" w:rsidRDefault="00CB60D7" w:rsidP="005000A4">
            <w:pPr>
              <w:pStyle w:val="Akapitzlist"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wykaz obecnie zatwierdzonych alternatywnych sposobów spełnienia wymagań oraz, jeśli taka istnieje, procedurę wydania </w:t>
            </w:r>
            <w:proofErr w:type="spellStart"/>
            <w:r w:rsidRPr="00827084">
              <w:rPr>
                <w:rFonts w:cs="Arial"/>
                <w:sz w:val="16"/>
                <w:szCs w:val="16"/>
                <w:lang w:val="pl-PL"/>
              </w:rPr>
              <w:t>AltMOC</w:t>
            </w:r>
            <w:proofErr w:type="spellEnd"/>
            <w:r w:rsidRPr="00827084">
              <w:rPr>
                <w:rFonts w:cs="Arial"/>
                <w:sz w:val="16"/>
                <w:szCs w:val="16"/>
                <w:lang w:val="pl-PL"/>
              </w:rPr>
              <w:t xml:space="preserve">. </w:t>
            </w:r>
          </w:p>
          <w:p w14:paraId="5094DDCF" w14:textId="04DADFFD" w:rsidR="00CB60D7" w:rsidRPr="00827084" w:rsidRDefault="00CB60D7" w:rsidP="00822294">
            <w:pPr>
              <w:pStyle w:val="Akapitzlist"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Ulega zmianie oświadczenie o zgodności w pkt (a)(1) aby uwzględnić w całości wymagania  Part-M, Part-ML, i Part-CAMO, co będzie miało zastosowanie. </w:t>
            </w:r>
          </w:p>
          <w:p w14:paraId="7A0E3958" w14:textId="06514946" w:rsidR="00CB60D7" w:rsidRPr="00827084" w:rsidRDefault="00CB60D7" w:rsidP="00A117F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W punkcie (a)(11) zamieszczono dodatkowe wyjaśnienia dotyczące wymaganych procedur określających, w jaki sposób organizacja zapewnia zgodność z Part-CAMO, Part-M i Part-ML. </w:t>
            </w:r>
          </w:p>
          <w:p w14:paraId="0EBADB6F" w14:textId="79F846F3" w:rsidR="00CB60D7" w:rsidRPr="00827084" w:rsidRDefault="00CB60D7" w:rsidP="00A117F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W punkcie (a)(9), teraz (a)(12), wyjaśniono wymóg dotyczący wykazu zatwierdzonych programów obsługi technicznej, stwierdzając, że ma to zastosowanie wyłącznie do statków powietrznych, dla których istnieje umowa o zarządzanie ciągłą zdatnością do lotu, nie wymagana dla pierwszego zatwierdzenia CAMO. Odpowiednio, podstawowe i rodzajowe programy obsługi nie są już wymagane (patrz również CAMO.A.325). </w:t>
            </w:r>
          </w:p>
          <w:p w14:paraId="3180EB8B" w14:textId="3C06C5EF" w:rsidR="00CB60D7" w:rsidRPr="00827084" w:rsidRDefault="00CB60D7" w:rsidP="00A117F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Punkt (b) został poddany przeglądowi w celu określenia, że początkowy CAME podlega zatwierdzeniu przez właściwy organ. </w:t>
            </w:r>
          </w:p>
          <w:p w14:paraId="39D91282" w14:textId="3A56FEBE" w:rsidR="00CB60D7" w:rsidRPr="00827084" w:rsidRDefault="00CB60D7" w:rsidP="00A117F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Dodano również wymóg utrzymania CAME w celu zachowania aktualnego opisu organizacji. </w:t>
            </w:r>
          </w:p>
          <w:p w14:paraId="73494C45" w14:textId="2031BA3D" w:rsidR="00CB60D7" w:rsidRPr="00F0400B" w:rsidRDefault="00CB60D7" w:rsidP="00F0400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Punkt (c) dotyczący zmian w CAME odnosi się do zmian wymagających uprzedniej zgody (</w:t>
            </w:r>
            <w:proofErr w:type="spellStart"/>
            <w:r w:rsidRPr="00827084">
              <w:rPr>
                <w:rFonts w:cs="Arial"/>
                <w:sz w:val="16"/>
                <w:szCs w:val="16"/>
                <w:lang w:val="pl-PL"/>
              </w:rPr>
              <w:t>cf</w:t>
            </w:r>
            <w:proofErr w:type="spellEnd"/>
            <w:r w:rsidRPr="00827084">
              <w:rPr>
                <w:rFonts w:cs="Arial"/>
                <w:sz w:val="16"/>
                <w:szCs w:val="16"/>
                <w:lang w:val="pl-PL"/>
              </w:rPr>
              <w:t>. CAMO.A.130 (a)) oraz do nowych przepisów dotyczących zarządzania zmianami bez uprzedniej zgody właściwego organu, w oparciu o uzgodnioną procedurę.</w:t>
            </w:r>
          </w:p>
        </w:tc>
      </w:tr>
      <w:tr w:rsidR="00CB60D7" w:rsidRPr="00F85C3E" w14:paraId="10BCA790" w14:textId="77777777" w:rsidTr="006B79F6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14:paraId="3B1C7E2B" w14:textId="31D5FF47" w:rsidR="00CB60D7" w:rsidRPr="00827084" w:rsidRDefault="00CB60D7" w:rsidP="006B79F6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lastRenderedPageBreak/>
              <w:t>M.A.706(a)/(b)/(c)/(d)/(e)/(f)/(g)/(i)/(j)/(k) – Wymagania dotyczące personelu</w:t>
            </w:r>
            <w:r w:rsidR="006B79F6">
              <w:rPr>
                <w:rFonts w:cs="Arial"/>
                <w:sz w:val="16"/>
                <w:szCs w:val="16"/>
                <w:lang w:val="pl-PL"/>
              </w:rPr>
              <w:t xml:space="preserve"> 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(</w:t>
            </w:r>
            <w:r>
              <w:rPr>
                <w:rFonts w:cs="Arial"/>
                <w:sz w:val="16"/>
                <w:szCs w:val="16"/>
                <w:lang w:val="pl-PL"/>
              </w:rPr>
              <w:t>także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 M.A.712(a))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F21004D" w14:textId="2CC6AC46" w:rsidR="00CB60D7" w:rsidRPr="00827084" w:rsidRDefault="00CB60D7" w:rsidP="00147705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CAMO.A.305(a)(1)/(a)(3)/(a)(4)/(a)(6)/(a)(7)/(b)/(c)/(d)/(e)/(f)/(g) – Wymagania dotyczące personelu</w:t>
            </w:r>
          </w:p>
        </w:tc>
        <w:tc>
          <w:tcPr>
            <w:tcW w:w="10064" w:type="dxa"/>
            <w:shd w:val="clear" w:color="auto" w:fill="auto"/>
            <w:vAlign w:val="center"/>
          </w:tcPr>
          <w:p w14:paraId="40156B28" w14:textId="55EAEC09" w:rsidR="00CB60D7" w:rsidRPr="00827084" w:rsidRDefault="00CB60D7" w:rsidP="005258C4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CB60D7" w:rsidRPr="00F85C3E" w14:paraId="684FBDC0" w14:textId="77777777" w:rsidTr="006B79F6">
        <w:trPr>
          <w:cantSplit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14:paraId="30750479" w14:textId="76BAAC34" w:rsidR="00CB60D7" w:rsidRPr="00827084" w:rsidRDefault="00CB60D7" w:rsidP="00147705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Nie dotyczy - Nowe wymagania wprowadzone przez Part-CAMO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14396289" w14:textId="104CE892" w:rsidR="00CB60D7" w:rsidRPr="00827084" w:rsidRDefault="00CB60D7" w:rsidP="00147705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CAMO.A.305(a)(2)/(a)(5) – Wymagania dotyczące personelu</w:t>
            </w:r>
          </w:p>
        </w:tc>
        <w:tc>
          <w:tcPr>
            <w:tcW w:w="10064" w:type="dxa"/>
            <w:shd w:val="clear" w:color="auto" w:fill="DEEAF6" w:themeFill="accent1" w:themeFillTint="33"/>
            <w:vAlign w:val="center"/>
          </w:tcPr>
          <w:p w14:paraId="080456B3" w14:textId="28BCC60C" w:rsidR="00CB60D7" w:rsidRPr="00827084" w:rsidRDefault="00CB60D7" w:rsidP="00F0400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9" w:hanging="284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CAMO.A.305 obejmuje wyznaczenie osoby lub grupy osób do funkcji monitorowania zgodności i obowiązków związanych z zarządzaniem bezpieczeństwem, w celu wyjaśnienia obowiązków kierownika odpowiedzialnego i stwierdzenia, że kompetencje muszą obejmować zrozumienie stosowania zasad zarządzania bezpieczeństwem i czynnikiem ludzkim oraz zagadnień dotyczących wydajności człowieka. </w:t>
            </w:r>
          </w:p>
          <w:p w14:paraId="297EBFEF" w14:textId="35AA3D33" w:rsidR="00CB60D7" w:rsidRPr="00827084" w:rsidRDefault="00CB60D7" w:rsidP="00F0400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9" w:hanging="284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Wprowadzono dodatkowe zmiany w celu poprawy ogólnej struktury niniejszego IR i wyjaśnienia powiązania z Part-ORO. W szczególności </w:t>
            </w:r>
            <w:r>
              <w:rPr>
                <w:rFonts w:cs="Arial"/>
                <w:sz w:val="16"/>
                <w:szCs w:val="16"/>
                <w:lang w:val="pl-PL"/>
              </w:rPr>
              <w:t>p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unkt (b)(1) stanowi, że w przypadku organizacji również zatwierdzonych jako licencjonowani przewoźnicy lotniczy kierownikiem odpowiedzialnym jest osoba wyznaczona na kierownika odpowiedzialnego przewoźnika lotniczego zgodnie z wym</w:t>
            </w:r>
            <w:r>
              <w:rPr>
                <w:rFonts w:cs="Arial"/>
                <w:sz w:val="16"/>
                <w:szCs w:val="16"/>
                <w:lang w:val="pl-PL"/>
              </w:rPr>
              <w:t>a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ga</w:t>
            </w:r>
            <w:r>
              <w:rPr>
                <w:rFonts w:cs="Arial"/>
                <w:sz w:val="16"/>
                <w:szCs w:val="16"/>
                <w:lang w:val="pl-PL"/>
              </w:rPr>
              <w:t>nia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mi </w:t>
            </w:r>
            <w:r>
              <w:rPr>
                <w:rFonts w:cs="Arial"/>
                <w:sz w:val="16"/>
                <w:szCs w:val="16"/>
                <w:lang w:val="pl-PL"/>
              </w:rPr>
              <w:t>Part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 ORO.GEN.210 (a) Part-ORO. Wymóg dotyczący wyznaczonej osoby funkcyjnych w zakresie obsługi, zawarty w (b)(2), jest zrównany z Part-ORO (odniesienie dotyczy „osoby odpowiedzialnej za zarządzanie i nadzór nad ciągłą zdatnością do lotu”).  </w:t>
            </w:r>
          </w:p>
          <w:p w14:paraId="7E96026C" w14:textId="36757D24" w:rsidR="00CB60D7" w:rsidRPr="00827084" w:rsidRDefault="00CB60D7" w:rsidP="00F0400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9" w:hanging="284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Dodano wymóg planowania dostępności personelu przez system, aby zapewnić, że organizacja ma wystarczającą liczbę odpowiednio wykwalifikowanych pracowników do planowania, wykonywania, nadzorowania, inspekcji i monitorowania swoich działań zgodnie z warunkami zatwierdzenia (nowy punkt (d)). </w:t>
            </w:r>
          </w:p>
          <w:p w14:paraId="5BE7D7D4" w14:textId="716A42C5" w:rsidR="00CB60D7" w:rsidRPr="00827084" w:rsidRDefault="00CB60D7" w:rsidP="00F0400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9" w:hanging="284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Dodano nowy punkt (e) aby uwzględnić w CAMO.A.305 odniesienie do personelu przeglądu zdatności do lotu obecnie osadzonego w M.A.707 punkt (a). W ten sposób CAMO.A.305 obejmuje wymagania dla wszystkich kategorii personelu, a CAMO.A.310 może skoncentrować się na wymaganiach dotyczących kwalifikacji personelu dokonującego przegląd zdatności do lotu.</w:t>
            </w:r>
          </w:p>
        </w:tc>
      </w:tr>
      <w:tr w:rsidR="00CB60D7" w:rsidRPr="00F85C3E" w14:paraId="30377AFB" w14:textId="77777777" w:rsidTr="006B79F6">
        <w:trPr>
          <w:cantSplit/>
        </w:trPr>
        <w:tc>
          <w:tcPr>
            <w:tcW w:w="2552" w:type="dxa"/>
            <w:shd w:val="clear" w:color="auto" w:fill="FFFFFF" w:themeFill="background1"/>
            <w:vAlign w:val="center"/>
          </w:tcPr>
          <w:p w14:paraId="562F5181" w14:textId="0CD27C76" w:rsidR="00CB60D7" w:rsidRPr="00827084" w:rsidRDefault="00CB60D7" w:rsidP="00147705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M.A.707 – Personel przeglądu zdatności do lotu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056AB23" w14:textId="47D91D04" w:rsidR="00CB60D7" w:rsidRPr="00827084" w:rsidRDefault="00CB60D7" w:rsidP="00147705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CAMO.A.310 – Kwalifikacje personelu przeglądu zdatności do lotu</w:t>
            </w:r>
          </w:p>
        </w:tc>
        <w:tc>
          <w:tcPr>
            <w:tcW w:w="10064" w:type="dxa"/>
            <w:shd w:val="clear" w:color="auto" w:fill="FFFFFF" w:themeFill="background1"/>
            <w:vAlign w:val="center"/>
          </w:tcPr>
          <w:p w14:paraId="1E476FE3" w14:textId="70984575" w:rsidR="00CB60D7" w:rsidRPr="00827084" w:rsidRDefault="00CB60D7" w:rsidP="00F0400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9" w:hanging="319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M.A.707 punkt (j) dotyczący aktualizacji stanowisk  i nazwisk osób w CAME </w:t>
            </w:r>
            <w:r>
              <w:rPr>
                <w:rFonts w:cs="Arial"/>
                <w:sz w:val="16"/>
                <w:szCs w:val="16"/>
                <w:lang w:val="pl-PL"/>
              </w:rPr>
              <w:t>został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 usunięty; już </w:t>
            </w:r>
            <w:r>
              <w:rPr>
                <w:rFonts w:cs="Arial"/>
                <w:sz w:val="16"/>
                <w:szCs w:val="16"/>
                <w:lang w:val="pl-PL"/>
              </w:rPr>
              <w:t xml:space="preserve">wcześniej 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omówione w CAMO.A.300(a)(4).</w:t>
            </w:r>
          </w:p>
          <w:p w14:paraId="359C26AA" w14:textId="499091FD" w:rsidR="00CB60D7" w:rsidRPr="00827084" w:rsidRDefault="00CB60D7" w:rsidP="00F0400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9" w:hanging="319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M.A.707 punkt (k) zostaje zmieniony, tak aby wymagać, by kompetencje obejmowały zrozumienie zasad zarządzania bezpieczeństwem i związanych z czynnikiem ludzkim właściwych dla funkcji i obowiązków danej osoby w organizacji oraz by zawierały odniesienie do personelu zaangażowanego w przeglądy zdatności do lotu lub rekomendacje i, o ile dotyczy, wydawani</w:t>
            </w:r>
            <w:r>
              <w:rPr>
                <w:rFonts w:cs="Arial"/>
                <w:sz w:val="16"/>
                <w:szCs w:val="16"/>
                <w:lang w:val="pl-PL"/>
              </w:rPr>
              <w:t>e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 pozwoleń na lot, tak aby odzwierciedlać nowy punkt CAMO.A.305(e).</w:t>
            </w:r>
          </w:p>
          <w:p w14:paraId="4284215F" w14:textId="60DB456D" w:rsidR="00CB60D7" w:rsidRPr="00827084" w:rsidRDefault="00CB60D7" w:rsidP="00F0400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9" w:hanging="319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Usunięto szczególne wymagania kwalifikacyjne nie mające zastosowania do zakresu Part-CAMO. </w:t>
            </w:r>
          </w:p>
          <w:p w14:paraId="62011CA4" w14:textId="378ADEFA" w:rsidR="00CB60D7" w:rsidRPr="00827084" w:rsidRDefault="00CB60D7" w:rsidP="00F0400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9" w:hanging="319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Skreślono punkt (d) dotycząc</w:t>
            </w:r>
            <w:r>
              <w:rPr>
                <w:rFonts w:cs="Arial"/>
                <w:sz w:val="16"/>
                <w:szCs w:val="16"/>
                <w:lang w:val="pl-PL"/>
              </w:rPr>
              <w:t>y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 wykazu personelu przeglądu zdatności do lotu w CAME, ponieważ zostało to już omówione w punkcie CAMO.A.300(a)(7). </w:t>
            </w:r>
          </w:p>
          <w:p w14:paraId="5FB4A554" w14:textId="31C60CAC" w:rsidR="00CB60D7" w:rsidRPr="00827084" w:rsidRDefault="00CB60D7" w:rsidP="00F0400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9" w:hanging="319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Takie kwalifikacje personelu przeglądu zdatności do lotu obowiązują niezależnie od zarządzanego statku powietrznego, co oznacza na przykład, że organizacja zatwierdzona zgodnie z Part-CAMO wykonująca przeglądy zdatności do lotu statków powietrznych innych niż CMPA nie może korzystać z personelu przeglądu zdatności do lotu spełniającego „niższe” wymagania nowego Part-CAO.</w:t>
            </w:r>
          </w:p>
        </w:tc>
      </w:tr>
      <w:tr w:rsidR="00CB60D7" w:rsidRPr="00F85C3E" w14:paraId="2830113D" w14:textId="77777777" w:rsidTr="006B79F6">
        <w:trPr>
          <w:cantSplit/>
        </w:trPr>
        <w:tc>
          <w:tcPr>
            <w:tcW w:w="2552" w:type="dxa"/>
            <w:shd w:val="clear" w:color="auto" w:fill="FFFFFF" w:themeFill="background1"/>
            <w:vAlign w:val="center"/>
          </w:tcPr>
          <w:p w14:paraId="5B75C580" w14:textId="09D82182" w:rsidR="00CB60D7" w:rsidRPr="00827084" w:rsidRDefault="00CB60D7" w:rsidP="00147705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M.A.708 – Zarządzanie ciągłą zdatnością do lotu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026A2EE" w14:textId="466909D9" w:rsidR="00CB60D7" w:rsidRPr="00827084" w:rsidRDefault="00CB60D7" w:rsidP="00147705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CAMO.A.315 – Zarządzanie ciągłą zdatnością do lotu</w:t>
            </w:r>
          </w:p>
        </w:tc>
        <w:tc>
          <w:tcPr>
            <w:tcW w:w="10064" w:type="dxa"/>
            <w:shd w:val="clear" w:color="auto" w:fill="FFFFFF" w:themeFill="background1"/>
            <w:vAlign w:val="center"/>
          </w:tcPr>
          <w:p w14:paraId="2B974C54" w14:textId="51D6EB26" w:rsidR="00CB60D7" w:rsidRPr="00827084" w:rsidRDefault="00CB60D7" w:rsidP="00F0400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9" w:hanging="284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CAMO.A.315 Zarządzanie ciągłą zdatnością do lotu jest poddawane przeglądowi w celu wyeliminowania zazębiania się z M.A.301. Podstawową zasadą jest to, że czysto techniczne wymagania są zawarte w Part-M, a Part-CAMO koncentruje się na powiązanych obowiązkach organizacyjnych. Poprawi to spójność i ułatwi przyszłe zmiany. </w:t>
            </w:r>
          </w:p>
          <w:p w14:paraId="66580ED4" w14:textId="40FD550F" w:rsidR="00CB60D7" w:rsidRPr="00827084" w:rsidRDefault="00CB60D7" w:rsidP="00F0400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9" w:hanging="284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Wprowadza się dodatkowe zmiany w celu zaktualizowania odpowiednich odniesień. W punkcie (c) wprowadza się zmiany w celu zaktualizowania przywołań do „CAT” przez „licencjonowanych przewoźników lotniczych zgodnie z rozporządzeniem (EC) No 1008/2008’, i w celu uwzględnienia konsultacji z operatorem. Ponieważ organizacja zatwierdzona zgodnie z Part-CAMO może również zarządzać ciągłą zdatnością do lotu innych statków powietrznych niż CMPA lub statków powietrznych nieużytkowanych przez koncesjonowanych przewoźników lotniczych, dodano odniesienia do organizacji  Part-CAO i </w:t>
            </w:r>
            <w:r>
              <w:rPr>
                <w:rFonts w:cs="Arial"/>
                <w:sz w:val="16"/>
                <w:szCs w:val="16"/>
                <w:lang w:val="pl-PL"/>
              </w:rPr>
              <w:t>zachow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ano odniesienia do organizacji obsługi </w:t>
            </w:r>
            <w:proofErr w:type="spellStart"/>
            <w:r w:rsidR="003655BD">
              <w:rPr>
                <w:rFonts w:cs="Arial"/>
                <w:sz w:val="16"/>
                <w:szCs w:val="16"/>
                <w:lang w:val="pl-PL"/>
              </w:rPr>
              <w:t>Podczęść</w:t>
            </w:r>
            <w:proofErr w:type="spellEnd"/>
            <w:r w:rsidRPr="00827084">
              <w:rPr>
                <w:rFonts w:cs="Arial"/>
                <w:sz w:val="16"/>
                <w:szCs w:val="16"/>
                <w:lang w:val="pl-PL"/>
              </w:rPr>
              <w:t xml:space="preserve"> F (</w:t>
            </w:r>
            <w:r>
              <w:rPr>
                <w:rFonts w:cs="Arial"/>
                <w:sz w:val="16"/>
                <w:szCs w:val="16"/>
                <w:lang w:val="pl-PL"/>
              </w:rPr>
              <w:t xml:space="preserve">dla 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ułatwi</w:t>
            </w:r>
            <w:r>
              <w:rPr>
                <w:rFonts w:cs="Arial"/>
                <w:sz w:val="16"/>
                <w:szCs w:val="16"/>
                <w:lang w:val="pl-PL"/>
              </w:rPr>
              <w:t>enia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/>
                <w:sz w:val="16"/>
                <w:szCs w:val="16"/>
                <w:lang w:val="pl-PL"/>
              </w:rPr>
              <w:t>przekształcenia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 do Part-CAO</w:t>
            </w:r>
            <w:r>
              <w:rPr>
                <w:rFonts w:cs="Arial"/>
                <w:sz w:val="16"/>
                <w:szCs w:val="16"/>
                <w:lang w:val="pl-PL"/>
              </w:rPr>
              <w:t>,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3655BD">
              <w:rPr>
                <w:rFonts w:cs="Arial"/>
                <w:sz w:val="16"/>
                <w:szCs w:val="16"/>
                <w:lang w:val="pl-PL"/>
              </w:rPr>
              <w:t>Podczęść</w:t>
            </w:r>
            <w:proofErr w:type="spellEnd"/>
            <w:r w:rsidR="003655BD" w:rsidRPr="00827084">
              <w:rPr>
                <w:rFonts w:cs="Arial"/>
                <w:sz w:val="16"/>
                <w:szCs w:val="16"/>
                <w:lang w:val="pl-PL"/>
              </w:rPr>
              <w:t xml:space="preserve"> </w:t>
            </w:r>
            <w:bookmarkStart w:id="0" w:name="_GoBack"/>
            <w:bookmarkEnd w:id="0"/>
            <w:r w:rsidRPr="00827084">
              <w:rPr>
                <w:rFonts w:cs="Arial"/>
                <w:sz w:val="16"/>
                <w:szCs w:val="16"/>
                <w:lang w:val="pl-PL"/>
              </w:rPr>
              <w:t xml:space="preserve">F będzie </w:t>
            </w:r>
            <w:r>
              <w:rPr>
                <w:rFonts w:cs="Arial"/>
                <w:sz w:val="16"/>
                <w:szCs w:val="16"/>
                <w:lang w:val="pl-PL"/>
              </w:rPr>
              <w:t xml:space="preserve">utrzymana podczas procesu </w:t>
            </w:r>
            <w:r w:rsidR="003655BD">
              <w:rPr>
                <w:rFonts w:cs="Arial"/>
                <w:sz w:val="16"/>
                <w:szCs w:val="16"/>
                <w:lang w:val="pl-PL"/>
              </w:rPr>
              <w:t>przekształcenia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). </w:t>
            </w:r>
          </w:p>
          <w:p w14:paraId="1E9DD639" w14:textId="32707416" w:rsidR="00CB60D7" w:rsidRPr="00827084" w:rsidRDefault="00CB60D7" w:rsidP="00F0400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9" w:hanging="284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Dodano punkt (e) w celu uwzględnienia wymogu uwzględnienia zasad </w:t>
            </w:r>
            <w:r>
              <w:rPr>
                <w:rFonts w:cs="Arial"/>
                <w:sz w:val="16"/>
                <w:szCs w:val="16"/>
                <w:lang w:val="pl-PL"/>
              </w:rPr>
              <w:t>związanych z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 czynnik</w:t>
            </w:r>
            <w:r>
              <w:rPr>
                <w:rFonts w:cs="Arial"/>
                <w:sz w:val="16"/>
                <w:szCs w:val="16"/>
                <w:lang w:val="pl-PL"/>
              </w:rPr>
              <w:t>iem ludzkim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 i ograniczeń wydajności człowieka w przypadku zadań związanych z zarządzaniem ciągłą zdatnością do lotu.</w:t>
            </w:r>
          </w:p>
        </w:tc>
      </w:tr>
      <w:tr w:rsidR="00CB60D7" w:rsidRPr="00F85C3E" w14:paraId="15E12E22" w14:textId="77777777" w:rsidTr="006B79F6">
        <w:trPr>
          <w:cantSplit/>
        </w:trPr>
        <w:tc>
          <w:tcPr>
            <w:tcW w:w="2552" w:type="dxa"/>
            <w:shd w:val="clear" w:color="auto" w:fill="FFFFFF" w:themeFill="background1"/>
            <w:vAlign w:val="center"/>
          </w:tcPr>
          <w:p w14:paraId="57122468" w14:textId="0641AD72" w:rsidR="00CB60D7" w:rsidRPr="00827084" w:rsidRDefault="00CB60D7" w:rsidP="00147705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M.A.710 – Przegląd zdatności do lotu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E0B7C0D" w14:textId="409EDB92" w:rsidR="00CB60D7" w:rsidRPr="00827084" w:rsidRDefault="00CB60D7" w:rsidP="00147705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CAMO.A.320 – Przegląd zdatności do lotu</w:t>
            </w:r>
          </w:p>
        </w:tc>
        <w:tc>
          <w:tcPr>
            <w:tcW w:w="10064" w:type="dxa"/>
            <w:shd w:val="clear" w:color="auto" w:fill="FFFFFF" w:themeFill="background1"/>
            <w:vAlign w:val="center"/>
          </w:tcPr>
          <w:p w14:paraId="1E2F4119" w14:textId="39AA75AA" w:rsidR="00CB60D7" w:rsidRPr="00827084" w:rsidRDefault="00CB60D7" w:rsidP="003655BD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Tekst istniejącego M.A.710 zastępuje si</w:t>
            </w:r>
            <w:r>
              <w:rPr>
                <w:rFonts w:cs="Arial"/>
                <w:sz w:val="16"/>
                <w:szCs w:val="16"/>
                <w:lang w:val="pl-PL"/>
              </w:rPr>
              <w:t xml:space="preserve">ę wymogiem przestrzegania Part-M 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sekcja A punkt M.A.901 lub Part-</w:t>
            </w:r>
            <w:r>
              <w:rPr>
                <w:rFonts w:cs="Arial"/>
                <w:sz w:val="16"/>
                <w:szCs w:val="16"/>
                <w:lang w:val="pl-PL"/>
              </w:rPr>
              <w:t>M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L sekcja A punkt ML.903, w zależności od zarządzanego </w:t>
            </w:r>
            <w:r w:rsidR="006B79F6">
              <w:rPr>
                <w:rFonts w:cs="Arial"/>
                <w:sz w:val="16"/>
                <w:szCs w:val="16"/>
                <w:lang w:val="pl-PL"/>
              </w:rPr>
              <w:t>SP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. Konkretne elementy składające się na proces przeglądu zdatności do lotu są przenoszone do tych Part-M i</w:t>
            </w:r>
            <w:r>
              <w:rPr>
                <w:rFonts w:cs="Arial"/>
                <w:sz w:val="16"/>
                <w:szCs w:val="16"/>
                <w:lang w:val="pl-PL"/>
              </w:rPr>
              <w:t xml:space="preserve"> Part-ML  </w:t>
            </w:r>
            <w:r w:rsidR="003655BD">
              <w:rPr>
                <w:rFonts w:cs="Arial"/>
                <w:sz w:val="16"/>
                <w:szCs w:val="16"/>
                <w:lang w:val="pl-PL"/>
              </w:rPr>
              <w:t>Podsekcji</w:t>
            </w:r>
            <w:r>
              <w:rPr>
                <w:rFonts w:cs="Arial"/>
                <w:sz w:val="16"/>
                <w:szCs w:val="16"/>
                <w:lang w:val="pl-PL"/>
              </w:rPr>
              <w:t xml:space="preserve"> I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.</w:t>
            </w:r>
          </w:p>
        </w:tc>
      </w:tr>
      <w:tr w:rsidR="00CB60D7" w:rsidRPr="00F85C3E" w14:paraId="611B4C6E" w14:textId="77777777" w:rsidTr="006B79F6">
        <w:trPr>
          <w:cantSplit/>
        </w:trPr>
        <w:tc>
          <w:tcPr>
            <w:tcW w:w="2552" w:type="dxa"/>
            <w:shd w:val="clear" w:color="auto" w:fill="FFFFFF" w:themeFill="background1"/>
            <w:vAlign w:val="center"/>
          </w:tcPr>
          <w:p w14:paraId="7AB37DDA" w14:textId="26089E01" w:rsidR="00CB60D7" w:rsidRPr="00827084" w:rsidRDefault="00CB60D7" w:rsidP="00147705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M.A.709 – Dokumentacja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2F01A8A" w14:textId="22B416E1" w:rsidR="00CB60D7" w:rsidRPr="00827084" w:rsidRDefault="00CB60D7" w:rsidP="00147705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CAMO.A.325 – Dane </w:t>
            </w:r>
            <w:r w:rsidR="006A3651">
              <w:rPr>
                <w:rFonts w:cs="Arial"/>
                <w:sz w:val="16"/>
                <w:szCs w:val="16"/>
                <w:lang w:val="pl-PL"/>
              </w:rPr>
              <w:t xml:space="preserve">dotyczące 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zarządzania ciągłą zdatnością do lotu</w:t>
            </w:r>
          </w:p>
        </w:tc>
        <w:tc>
          <w:tcPr>
            <w:tcW w:w="10064" w:type="dxa"/>
            <w:shd w:val="clear" w:color="auto" w:fill="FFFFFF" w:themeFill="background1"/>
            <w:vAlign w:val="center"/>
          </w:tcPr>
          <w:p w14:paraId="19976C1D" w14:textId="225537CB" w:rsidR="00CB60D7" w:rsidRPr="00827084" w:rsidRDefault="00CB60D7" w:rsidP="00841CE3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CAMO.A.325 Dane dotyczące zarządzania ciągłą zdatnością do lotu zostały zmienione w celu zapewnienia spójności, aby odzwierciedlić zakres nowej Part-CAMO i zaktualizować odpowiednie odniesienia. Skreśla się punkt (b), ponieważ wymóg opracowania podstawowych lub rodzajowych programów obsługi technicznej nie został utrzymany.</w:t>
            </w:r>
          </w:p>
        </w:tc>
      </w:tr>
    </w:tbl>
    <w:p w14:paraId="6F500521" w14:textId="6C5A6602" w:rsidR="00822294" w:rsidRPr="006B79F6" w:rsidRDefault="00822294" w:rsidP="00CB60D7">
      <w:pPr>
        <w:spacing w:before="120" w:after="0" w:line="240" w:lineRule="auto"/>
        <w:jc w:val="both"/>
        <w:rPr>
          <w:rFonts w:cs="Arial"/>
          <w:sz w:val="2"/>
          <w:szCs w:val="2"/>
          <w:lang w:val="pl-PL"/>
        </w:rPr>
      </w:pPr>
    </w:p>
    <w:sectPr w:rsidR="00822294" w:rsidRPr="006B79F6" w:rsidSect="006B79F6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624" w:right="720" w:bottom="624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9B9E7" w14:textId="77777777" w:rsidR="005C38D7" w:rsidRDefault="005C38D7" w:rsidP="00B714EE">
      <w:pPr>
        <w:spacing w:after="0" w:line="240" w:lineRule="auto"/>
      </w:pPr>
      <w:r>
        <w:separator/>
      </w:r>
    </w:p>
  </w:endnote>
  <w:endnote w:type="continuationSeparator" w:id="0">
    <w:p w14:paraId="145A485B" w14:textId="77777777" w:rsidR="005C38D7" w:rsidRDefault="005C38D7" w:rsidP="00B71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015F" w14:textId="2F52D2BE" w:rsidR="0074568B" w:rsidRPr="00CB60D7" w:rsidRDefault="00CB60D7" w:rsidP="00CB60D7">
    <w:pPr>
      <w:pStyle w:val="Stopka"/>
      <w:spacing w:before="120"/>
      <w:ind w:left="567" w:hanging="567"/>
      <w:rPr>
        <w:color w:val="0070C0"/>
        <w:sz w:val="18"/>
        <w:lang w:val="fr-BE"/>
      </w:rPr>
    </w:pPr>
    <w:r w:rsidRPr="00CB60D7">
      <w:rPr>
        <w:b/>
        <w:color w:val="0070C0"/>
        <w:sz w:val="16"/>
        <w:lang w:val="fr-BE"/>
      </w:rPr>
      <w:t>Uwaga</w:t>
    </w:r>
    <w:r w:rsidRPr="00CB60D7">
      <w:rPr>
        <w:color w:val="0070C0"/>
        <w:sz w:val="16"/>
        <w:lang w:val="fr-BE"/>
      </w:rPr>
      <w:t>:</w:t>
    </w:r>
    <w:r w:rsidRPr="00CB60D7">
      <w:rPr>
        <w:color w:val="0070C0"/>
        <w:sz w:val="16"/>
        <w:lang w:val="fr-BE"/>
      </w:rPr>
      <w:tab/>
      <w:t>Zmiany przepisów związane z przekształceniem podświetlone są na niebiesko.</w:t>
    </w:r>
    <w:r w:rsidR="00213ED9">
      <w:rPr>
        <w:color w:val="0070C0"/>
        <w:sz w:val="16"/>
        <w:lang w:val="fr-BE"/>
      </w:rPr>
      <w:tab/>
    </w:r>
    <w:r w:rsidR="00213ED9">
      <w:rPr>
        <w:color w:val="0070C0"/>
        <w:sz w:val="16"/>
        <w:lang w:val="fr-BE"/>
      </w:rPr>
      <w:tab/>
    </w:r>
    <w:r w:rsidR="00213ED9">
      <w:rPr>
        <w:color w:val="0070C0"/>
        <w:sz w:val="16"/>
        <w:lang w:val="fr-BE"/>
      </w:rPr>
      <w:tab/>
    </w:r>
    <w:r w:rsidR="00213ED9">
      <w:rPr>
        <w:color w:val="0070C0"/>
        <w:sz w:val="16"/>
        <w:lang w:val="fr-BE"/>
      </w:rPr>
      <w:tab/>
    </w:r>
    <w:r w:rsidR="00213ED9">
      <w:rPr>
        <w:color w:val="0070C0"/>
        <w:sz w:val="16"/>
        <w:lang w:val="fr-BE"/>
      </w:rPr>
      <w:tab/>
    </w:r>
    <w:r w:rsidR="00213ED9">
      <w:rPr>
        <w:color w:val="0070C0"/>
        <w:sz w:val="16"/>
        <w:lang w:val="fr-BE"/>
      </w:rPr>
      <w:tab/>
    </w:r>
    <w:r w:rsidR="00213ED9">
      <w:rPr>
        <w:color w:val="0070C0"/>
        <w:sz w:val="16"/>
        <w:lang w:val="fr-BE"/>
      </w:rPr>
      <w:tab/>
    </w:r>
    <w:r w:rsidR="00213ED9">
      <w:rPr>
        <w:color w:val="0070C0"/>
        <w:sz w:val="16"/>
        <w:lang w:val="fr-BE"/>
      </w:rPr>
      <w:tab/>
    </w:r>
    <w:r w:rsidR="00213ED9">
      <w:rPr>
        <w:color w:val="0070C0"/>
        <w:sz w:val="16"/>
        <w:lang w:val="fr-BE"/>
      </w:rPr>
      <w:tab/>
    </w:r>
    <w:r w:rsidR="0074568B" w:rsidRPr="00CB60D7">
      <w:rPr>
        <w:color w:val="0070C0"/>
        <w:sz w:val="16"/>
        <w:lang w:val="fr-BE"/>
      </w:rPr>
      <w:t xml:space="preserve">Strona </w:t>
    </w:r>
    <w:r w:rsidR="0074568B" w:rsidRPr="00CB60D7">
      <w:rPr>
        <w:color w:val="0070C0"/>
        <w:sz w:val="16"/>
        <w:lang w:val="fr-BE"/>
      </w:rPr>
      <w:fldChar w:fldCharType="begin"/>
    </w:r>
    <w:r w:rsidR="0074568B" w:rsidRPr="00CB60D7">
      <w:rPr>
        <w:color w:val="0070C0"/>
        <w:sz w:val="16"/>
        <w:lang w:val="fr-BE"/>
      </w:rPr>
      <w:instrText xml:space="preserve"> PAGE   \* MERGEFORMAT </w:instrText>
    </w:r>
    <w:r w:rsidR="0074568B" w:rsidRPr="00CB60D7">
      <w:rPr>
        <w:color w:val="0070C0"/>
        <w:sz w:val="16"/>
        <w:lang w:val="fr-BE"/>
      </w:rPr>
      <w:fldChar w:fldCharType="separate"/>
    </w:r>
    <w:r w:rsidR="003655BD">
      <w:rPr>
        <w:noProof/>
        <w:color w:val="0070C0"/>
        <w:sz w:val="16"/>
        <w:lang w:val="fr-BE"/>
      </w:rPr>
      <w:t>3</w:t>
    </w:r>
    <w:r w:rsidR="0074568B" w:rsidRPr="00CB60D7">
      <w:rPr>
        <w:color w:val="0070C0"/>
        <w:sz w:val="16"/>
        <w:lang w:val="fr-BE"/>
      </w:rPr>
      <w:fldChar w:fldCharType="end"/>
    </w:r>
    <w:r w:rsidR="0074568B" w:rsidRPr="00CB60D7">
      <w:rPr>
        <w:color w:val="0070C0"/>
        <w:sz w:val="16"/>
        <w:lang w:val="fr-BE"/>
      </w:rPr>
      <w:t xml:space="preserve"> z </w:t>
    </w:r>
    <w:r w:rsidR="0074568B" w:rsidRPr="00CB60D7">
      <w:rPr>
        <w:rFonts w:cstheme="minorHAnsi"/>
        <w:color w:val="0070C0"/>
        <w:sz w:val="16"/>
        <w:szCs w:val="20"/>
      </w:rPr>
      <w:fldChar w:fldCharType="begin"/>
    </w:r>
    <w:r w:rsidR="0074568B" w:rsidRPr="00CB60D7">
      <w:rPr>
        <w:rFonts w:cstheme="minorHAnsi"/>
        <w:color w:val="0070C0"/>
        <w:sz w:val="16"/>
        <w:szCs w:val="20"/>
      </w:rPr>
      <w:instrText xml:space="preserve"> NUMPAGES   \* MERGEFORMAT </w:instrText>
    </w:r>
    <w:r w:rsidR="0074568B" w:rsidRPr="00CB60D7">
      <w:rPr>
        <w:rFonts w:cstheme="minorHAnsi"/>
        <w:color w:val="0070C0"/>
        <w:sz w:val="16"/>
        <w:szCs w:val="20"/>
      </w:rPr>
      <w:fldChar w:fldCharType="separate"/>
    </w:r>
    <w:r w:rsidR="003655BD">
      <w:rPr>
        <w:rFonts w:cstheme="minorHAnsi"/>
        <w:noProof/>
        <w:color w:val="0070C0"/>
        <w:sz w:val="16"/>
        <w:szCs w:val="20"/>
      </w:rPr>
      <w:t>3</w:t>
    </w:r>
    <w:r w:rsidR="0074568B" w:rsidRPr="00CB60D7">
      <w:rPr>
        <w:rFonts w:cstheme="minorHAnsi"/>
        <w:color w:val="0070C0"/>
        <w:sz w:val="16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9CC83" w14:textId="4FFB76A9" w:rsidR="00CB60D7" w:rsidRDefault="00CB60D7" w:rsidP="00CB60D7">
    <w:pPr>
      <w:pStyle w:val="Stopka"/>
      <w:ind w:left="709" w:hanging="709"/>
    </w:pPr>
    <w:r>
      <w:rPr>
        <w:rFonts w:cs="Arial"/>
        <w:b/>
        <w:color w:val="0070C0"/>
        <w:sz w:val="16"/>
        <w:szCs w:val="16"/>
        <w:lang w:val="pl-PL"/>
      </w:rPr>
      <w:t>Uwaga:</w:t>
    </w:r>
    <w:r>
      <w:rPr>
        <w:rFonts w:cs="Arial"/>
        <w:b/>
        <w:color w:val="0070C0"/>
        <w:sz w:val="16"/>
        <w:szCs w:val="16"/>
        <w:lang w:val="pl-PL"/>
      </w:rPr>
      <w:tab/>
    </w:r>
    <w:r>
      <w:rPr>
        <w:rFonts w:cs="Arial"/>
        <w:color w:val="0070C0"/>
        <w:sz w:val="16"/>
        <w:szCs w:val="16"/>
        <w:lang w:val="pl-PL"/>
      </w:rPr>
      <w:t>Zmiany przepisów związane z przekształceniem</w:t>
    </w:r>
    <w:r w:rsidRPr="00147705">
      <w:rPr>
        <w:rFonts w:cs="Arial"/>
        <w:color w:val="0070C0"/>
        <w:sz w:val="16"/>
        <w:szCs w:val="16"/>
        <w:lang w:val="pl-PL"/>
      </w:rPr>
      <w:t xml:space="preserve"> podświetlone są na niebiesko</w:t>
    </w:r>
    <w:r>
      <w:rPr>
        <w:rFonts w:cs="Arial"/>
        <w:color w:val="0070C0"/>
        <w:sz w:val="16"/>
        <w:szCs w:val="16"/>
        <w:lang w:val="pl-P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B5B4F" w14:textId="77777777" w:rsidR="005C38D7" w:rsidRDefault="005C38D7" w:rsidP="00B714EE">
      <w:pPr>
        <w:spacing w:after="0" w:line="240" w:lineRule="auto"/>
      </w:pPr>
      <w:r>
        <w:separator/>
      </w:r>
    </w:p>
  </w:footnote>
  <w:footnote w:type="continuationSeparator" w:id="0">
    <w:p w14:paraId="4ECB826B" w14:textId="77777777" w:rsidR="005C38D7" w:rsidRDefault="005C38D7" w:rsidP="00B71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5B893" w14:textId="473ACF66" w:rsidR="00CB60D7" w:rsidRPr="00CB60D7" w:rsidRDefault="00CB60D7" w:rsidP="00CB60D7">
    <w:pPr>
      <w:pStyle w:val="Nagwek"/>
      <w:spacing w:after="120"/>
      <w:rPr>
        <w:b/>
        <w:color w:val="0070C0"/>
      </w:rPr>
    </w:pPr>
    <w:r w:rsidRPr="00CB60D7">
      <w:rPr>
        <w:b/>
        <w:color w:val="0070C0"/>
      </w:rPr>
      <w:t xml:space="preserve">Part-CAMO vs Part-MG </w:t>
    </w:r>
    <w:proofErr w:type="spellStart"/>
    <w:r w:rsidRPr="00CB60D7">
      <w:rPr>
        <w:b/>
        <w:color w:val="0070C0"/>
      </w:rPr>
      <w:t>Tabela</w:t>
    </w:r>
    <w:proofErr w:type="spellEnd"/>
    <w:r w:rsidRPr="00CB60D7">
      <w:rPr>
        <w:b/>
        <w:color w:val="0070C0"/>
      </w:rPr>
      <w:t xml:space="preserve"> </w:t>
    </w:r>
    <w:proofErr w:type="spellStart"/>
    <w:r w:rsidRPr="00CB60D7">
      <w:rPr>
        <w:b/>
        <w:color w:val="0070C0"/>
      </w:rPr>
      <w:t>zgodności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C44CD" w14:textId="023E2016" w:rsidR="0074568B" w:rsidRPr="000200A1" w:rsidRDefault="000200A1">
    <w:pPr>
      <w:pStyle w:val="Nagwek"/>
      <w:rPr>
        <w:b/>
        <w:color w:val="0070C0"/>
      </w:rPr>
    </w:pPr>
    <w:r w:rsidRPr="000200A1">
      <w:rPr>
        <w:b/>
        <w:color w:val="0070C0"/>
        <w:lang w:val="pl-PL"/>
      </w:rPr>
      <w:t>Part-CAMO vs Part-MG Tabela zgodności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6E27"/>
    <w:multiLevelType w:val="hybridMultilevel"/>
    <w:tmpl w:val="1F345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378F"/>
    <w:multiLevelType w:val="hybridMultilevel"/>
    <w:tmpl w:val="5A0E2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23B02"/>
    <w:multiLevelType w:val="hybridMultilevel"/>
    <w:tmpl w:val="F4D6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D128F"/>
    <w:multiLevelType w:val="hybridMultilevel"/>
    <w:tmpl w:val="5210C108"/>
    <w:lvl w:ilvl="0" w:tplc="C4C66280">
      <w:start w:val="13"/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D3D9B"/>
    <w:multiLevelType w:val="hybridMultilevel"/>
    <w:tmpl w:val="E592D8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B0FFA"/>
    <w:multiLevelType w:val="hybridMultilevel"/>
    <w:tmpl w:val="32A2D61C"/>
    <w:lvl w:ilvl="0" w:tplc="C9D225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60B3F"/>
    <w:multiLevelType w:val="hybridMultilevel"/>
    <w:tmpl w:val="542455FC"/>
    <w:lvl w:ilvl="0" w:tplc="C4C66280">
      <w:start w:val="13"/>
      <w:numFmt w:val="bullet"/>
      <w:lvlText w:val="—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1C6777"/>
    <w:multiLevelType w:val="hybridMultilevel"/>
    <w:tmpl w:val="09F4532A"/>
    <w:lvl w:ilvl="0" w:tplc="CA0CA6EA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95E9F"/>
    <w:multiLevelType w:val="hybridMultilevel"/>
    <w:tmpl w:val="80E445FA"/>
    <w:lvl w:ilvl="0" w:tplc="C4C66280">
      <w:start w:val="13"/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EB1037"/>
    <w:multiLevelType w:val="hybridMultilevel"/>
    <w:tmpl w:val="8E327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C106B1"/>
    <w:multiLevelType w:val="hybridMultilevel"/>
    <w:tmpl w:val="A2E474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043AC4"/>
    <w:multiLevelType w:val="hybridMultilevel"/>
    <w:tmpl w:val="6EFC3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8C73E3"/>
    <w:multiLevelType w:val="hybridMultilevel"/>
    <w:tmpl w:val="EA882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A4AC1"/>
    <w:multiLevelType w:val="hybridMultilevel"/>
    <w:tmpl w:val="3676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FF13E1"/>
    <w:multiLevelType w:val="hybridMultilevel"/>
    <w:tmpl w:val="89B4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4C07B3"/>
    <w:multiLevelType w:val="hybridMultilevel"/>
    <w:tmpl w:val="1F847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2A5273"/>
    <w:multiLevelType w:val="hybridMultilevel"/>
    <w:tmpl w:val="69429E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DC7635"/>
    <w:multiLevelType w:val="hybridMultilevel"/>
    <w:tmpl w:val="3BCE96C4"/>
    <w:lvl w:ilvl="0" w:tplc="C4C66280">
      <w:start w:val="13"/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135FA"/>
    <w:multiLevelType w:val="hybridMultilevel"/>
    <w:tmpl w:val="BE1026F6"/>
    <w:lvl w:ilvl="0" w:tplc="0809000F">
      <w:start w:val="1"/>
      <w:numFmt w:val="decimal"/>
      <w:lvlText w:val="%1."/>
      <w:lvlJc w:val="left"/>
      <w:pPr>
        <w:ind w:left="426" w:hanging="360"/>
      </w:p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288F2CAB"/>
    <w:multiLevelType w:val="hybridMultilevel"/>
    <w:tmpl w:val="B8B8115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824250"/>
    <w:multiLevelType w:val="hybridMultilevel"/>
    <w:tmpl w:val="80EE9A9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2BB3363D"/>
    <w:multiLevelType w:val="hybridMultilevel"/>
    <w:tmpl w:val="18421A22"/>
    <w:lvl w:ilvl="0" w:tplc="C4C66280">
      <w:start w:val="13"/>
      <w:numFmt w:val="bullet"/>
      <w:lvlText w:val="—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CD5EAF"/>
    <w:multiLevelType w:val="hybridMultilevel"/>
    <w:tmpl w:val="3F809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076AF3"/>
    <w:multiLevelType w:val="hybridMultilevel"/>
    <w:tmpl w:val="5DAC2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B721C3"/>
    <w:multiLevelType w:val="hybridMultilevel"/>
    <w:tmpl w:val="C8C2666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63715B8"/>
    <w:multiLevelType w:val="hybridMultilevel"/>
    <w:tmpl w:val="CF6E5EC0"/>
    <w:lvl w:ilvl="0" w:tplc="3FDC5C9A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490011B8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0F345A"/>
    <w:multiLevelType w:val="hybridMultilevel"/>
    <w:tmpl w:val="A2E474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D60FC0"/>
    <w:multiLevelType w:val="hybridMultilevel"/>
    <w:tmpl w:val="C1184838"/>
    <w:lvl w:ilvl="0" w:tplc="08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8" w15:restartNumberingAfterBreak="0">
    <w:nsid w:val="40815A17"/>
    <w:multiLevelType w:val="hybridMultilevel"/>
    <w:tmpl w:val="283835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55F1824"/>
    <w:multiLevelType w:val="hybridMultilevel"/>
    <w:tmpl w:val="9264AD5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4BAE1FD3"/>
    <w:multiLevelType w:val="hybridMultilevel"/>
    <w:tmpl w:val="1D88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9B047B"/>
    <w:multiLevelType w:val="hybridMultilevel"/>
    <w:tmpl w:val="0A6A0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B4E1C"/>
    <w:multiLevelType w:val="hybridMultilevel"/>
    <w:tmpl w:val="21F041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1B7678"/>
    <w:multiLevelType w:val="hybridMultilevel"/>
    <w:tmpl w:val="304E7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B103E3"/>
    <w:multiLevelType w:val="hybridMultilevel"/>
    <w:tmpl w:val="73202540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5" w15:restartNumberingAfterBreak="0">
    <w:nsid w:val="53DD0041"/>
    <w:multiLevelType w:val="hybridMultilevel"/>
    <w:tmpl w:val="CA522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6472DE"/>
    <w:multiLevelType w:val="hybridMultilevel"/>
    <w:tmpl w:val="F05A4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090015"/>
    <w:multiLevelType w:val="hybridMultilevel"/>
    <w:tmpl w:val="05365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F41595"/>
    <w:multiLevelType w:val="hybridMultilevel"/>
    <w:tmpl w:val="561605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8B79D5"/>
    <w:multiLevelType w:val="hybridMultilevel"/>
    <w:tmpl w:val="76CA9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05B37"/>
    <w:multiLevelType w:val="hybridMultilevel"/>
    <w:tmpl w:val="33EEB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175DD2"/>
    <w:multiLevelType w:val="hybridMultilevel"/>
    <w:tmpl w:val="0D8AAD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A0D3600"/>
    <w:multiLevelType w:val="hybridMultilevel"/>
    <w:tmpl w:val="BAC0CEB0"/>
    <w:lvl w:ilvl="0" w:tplc="33300792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330308"/>
    <w:multiLevelType w:val="hybridMultilevel"/>
    <w:tmpl w:val="101C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D24F53"/>
    <w:multiLevelType w:val="hybridMultilevel"/>
    <w:tmpl w:val="B1B0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BE0C17"/>
    <w:multiLevelType w:val="hybridMultilevel"/>
    <w:tmpl w:val="05BA1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0AFF50">
      <w:numFmt w:val="bullet"/>
      <w:lvlText w:val="•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036669"/>
    <w:multiLevelType w:val="hybridMultilevel"/>
    <w:tmpl w:val="35B24C7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7C92A6B"/>
    <w:multiLevelType w:val="hybridMultilevel"/>
    <w:tmpl w:val="19042484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8923AAB"/>
    <w:multiLevelType w:val="hybridMultilevel"/>
    <w:tmpl w:val="CBAACAD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A2B1E6D"/>
    <w:multiLevelType w:val="hybridMultilevel"/>
    <w:tmpl w:val="01E04A2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AE04393"/>
    <w:multiLevelType w:val="hybridMultilevel"/>
    <w:tmpl w:val="6696E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035DFB"/>
    <w:multiLevelType w:val="hybridMultilevel"/>
    <w:tmpl w:val="D63E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7"/>
  </w:num>
  <w:num w:numId="3">
    <w:abstractNumId w:val="32"/>
  </w:num>
  <w:num w:numId="4">
    <w:abstractNumId w:val="46"/>
  </w:num>
  <w:num w:numId="5">
    <w:abstractNumId w:val="11"/>
  </w:num>
  <w:num w:numId="6">
    <w:abstractNumId w:val="49"/>
  </w:num>
  <w:num w:numId="7">
    <w:abstractNumId w:val="48"/>
  </w:num>
  <w:num w:numId="8">
    <w:abstractNumId w:val="24"/>
  </w:num>
  <w:num w:numId="9">
    <w:abstractNumId w:val="25"/>
  </w:num>
  <w:num w:numId="10">
    <w:abstractNumId w:val="21"/>
  </w:num>
  <w:num w:numId="11">
    <w:abstractNumId w:val="18"/>
  </w:num>
  <w:num w:numId="12">
    <w:abstractNumId w:val="28"/>
  </w:num>
  <w:num w:numId="13">
    <w:abstractNumId w:val="41"/>
  </w:num>
  <w:num w:numId="14">
    <w:abstractNumId w:val="6"/>
  </w:num>
  <w:num w:numId="15">
    <w:abstractNumId w:val="47"/>
  </w:num>
  <w:num w:numId="16">
    <w:abstractNumId w:val="27"/>
  </w:num>
  <w:num w:numId="17">
    <w:abstractNumId w:val="20"/>
  </w:num>
  <w:num w:numId="18">
    <w:abstractNumId w:val="39"/>
  </w:num>
  <w:num w:numId="19">
    <w:abstractNumId w:val="1"/>
  </w:num>
  <w:num w:numId="20">
    <w:abstractNumId w:val="36"/>
  </w:num>
  <w:num w:numId="21">
    <w:abstractNumId w:val="45"/>
  </w:num>
  <w:num w:numId="22">
    <w:abstractNumId w:val="19"/>
  </w:num>
  <w:num w:numId="23">
    <w:abstractNumId w:val="51"/>
  </w:num>
  <w:num w:numId="24">
    <w:abstractNumId w:val="30"/>
  </w:num>
  <w:num w:numId="25">
    <w:abstractNumId w:val="8"/>
  </w:num>
  <w:num w:numId="26">
    <w:abstractNumId w:val="5"/>
  </w:num>
  <w:num w:numId="27">
    <w:abstractNumId w:val="37"/>
  </w:num>
  <w:num w:numId="28">
    <w:abstractNumId w:val="10"/>
  </w:num>
  <w:num w:numId="29">
    <w:abstractNumId w:val="4"/>
  </w:num>
  <w:num w:numId="30">
    <w:abstractNumId w:val="16"/>
  </w:num>
  <w:num w:numId="31">
    <w:abstractNumId w:val="26"/>
  </w:num>
  <w:num w:numId="32">
    <w:abstractNumId w:val="3"/>
  </w:num>
  <w:num w:numId="33">
    <w:abstractNumId w:val="22"/>
  </w:num>
  <w:num w:numId="34">
    <w:abstractNumId w:val="17"/>
  </w:num>
  <w:num w:numId="35">
    <w:abstractNumId w:val="44"/>
  </w:num>
  <w:num w:numId="36">
    <w:abstractNumId w:val="13"/>
  </w:num>
  <w:num w:numId="37">
    <w:abstractNumId w:val="33"/>
  </w:num>
  <w:num w:numId="38">
    <w:abstractNumId w:val="12"/>
  </w:num>
  <w:num w:numId="39">
    <w:abstractNumId w:val="2"/>
  </w:num>
  <w:num w:numId="40">
    <w:abstractNumId w:val="38"/>
  </w:num>
  <w:num w:numId="41">
    <w:abstractNumId w:val="15"/>
  </w:num>
  <w:num w:numId="42">
    <w:abstractNumId w:val="43"/>
  </w:num>
  <w:num w:numId="43">
    <w:abstractNumId w:val="40"/>
  </w:num>
  <w:num w:numId="44">
    <w:abstractNumId w:val="14"/>
  </w:num>
  <w:num w:numId="45">
    <w:abstractNumId w:val="34"/>
  </w:num>
  <w:num w:numId="46">
    <w:abstractNumId w:val="23"/>
  </w:num>
  <w:num w:numId="47">
    <w:abstractNumId w:val="0"/>
  </w:num>
  <w:num w:numId="48">
    <w:abstractNumId w:val="35"/>
  </w:num>
  <w:num w:numId="49">
    <w:abstractNumId w:val="29"/>
  </w:num>
  <w:num w:numId="50">
    <w:abstractNumId w:val="9"/>
  </w:num>
  <w:num w:numId="51">
    <w:abstractNumId w:val="50"/>
  </w:num>
  <w:num w:numId="52">
    <w:abstractNumId w:val="3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D0"/>
    <w:rsid w:val="000044D1"/>
    <w:rsid w:val="00016680"/>
    <w:rsid w:val="000200A1"/>
    <w:rsid w:val="0002417E"/>
    <w:rsid w:val="00025677"/>
    <w:rsid w:val="00026E23"/>
    <w:rsid w:val="000304B9"/>
    <w:rsid w:val="00032DAE"/>
    <w:rsid w:val="00035837"/>
    <w:rsid w:val="00035C1B"/>
    <w:rsid w:val="00036B50"/>
    <w:rsid w:val="00040605"/>
    <w:rsid w:val="0004610C"/>
    <w:rsid w:val="0005103E"/>
    <w:rsid w:val="000525A8"/>
    <w:rsid w:val="00053BD0"/>
    <w:rsid w:val="000546C6"/>
    <w:rsid w:val="00055467"/>
    <w:rsid w:val="00060260"/>
    <w:rsid w:val="000604DF"/>
    <w:rsid w:val="00062553"/>
    <w:rsid w:val="00063CB2"/>
    <w:rsid w:val="000671C1"/>
    <w:rsid w:val="00071EB6"/>
    <w:rsid w:val="00072DF5"/>
    <w:rsid w:val="00073AE2"/>
    <w:rsid w:val="00074E2F"/>
    <w:rsid w:val="00084609"/>
    <w:rsid w:val="00085739"/>
    <w:rsid w:val="00086EF8"/>
    <w:rsid w:val="00090EB8"/>
    <w:rsid w:val="00092CBF"/>
    <w:rsid w:val="00095BD7"/>
    <w:rsid w:val="000A1487"/>
    <w:rsid w:val="000A436F"/>
    <w:rsid w:val="000A4471"/>
    <w:rsid w:val="000A5016"/>
    <w:rsid w:val="000B29DC"/>
    <w:rsid w:val="000B52F9"/>
    <w:rsid w:val="000B6C08"/>
    <w:rsid w:val="000C17C9"/>
    <w:rsid w:val="000C5A0F"/>
    <w:rsid w:val="000C5E4E"/>
    <w:rsid w:val="000D0F01"/>
    <w:rsid w:val="000D4C1B"/>
    <w:rsid w:val="000D554F"/>
    <w:rsid w:val="000E017B"/>
    <w:rsid w:val="000E26D5"/>
    <w:rsid w:val="000E2FC9"/>
    <w:rsid w:val="000E3059"/>
    <w:rsid w:val="000F1DE0"/>
    <w:rsid w:val="000F615A"/>
    <w:rsid w:val="000F7002"/>
    <w:rsid w:val="000F7C7E"/>
    <w:rsid w:val="00104FE5"/>
    <w:rsid w:val="00110269"/>
    <w:rsid w:val="00111011"/>
    <w:rsid w:val="00111D73"/>
    <w:rsid w:val="00112A7D"/>
    <w:rsid w:val="00117711"/>
    <w:rsid w:val="001217E2"/>
    <w:rsid w:val="0012183B"/>
    <w:rsid w:val="0012344B"/>
    <w:rsid w:val="00123DE5"/>
    <w:rsid w:val="00131822"/>
    <w:rsid w:val="0013431F"/>
    <w:rsid w:val="0013591D"/>
    <w:rsid w:val="0014173C"/>
    <w:rsid w:val="001441C4"/>
    <w:rsid w:val="00147705"/>
    <w:rsid w:val="0015515D"/>
    <w:rsid w:val="00155610"/>
    <w:rsid w:val="00156551"/>
    <w:rsid w:val="00156A9A"/>
    <w:rsid w:val="00156B07"/>
    <w:rsid w:val="001574A5"/>
    <w:rsid w:val="00160BFD"/>
    <w:rsid w:val="00170FF0"/>
    <w:rsid w:val="001721E2"/>
    <w:rsid w:val="0017541E"/>
    <w:rsid w:val="001842D2"/>
    <w:rsid w:val="0019118C"/>
    <w:rsid w:val="0019387E"/>
    <w:rsid w:val="0019499B"/>
    <w:rsid w:val="001B010A"/>
    <w:rsid w:val="001B1936"/>
    <w:rsid w:val="001B3D4E"/>
    <w:rsid w:val="001B73C7"/>
    <w:rsid w:val="001C7F2E"/>
    <w:rsid w:val="001D4D8D"/>
    <w:rsid w:val="001D6F7F"/>
    <w:rsid w:val="001D7177"/>
    <w:rsid w:val="001E5721"/>
    <w:rsid w:val="001F5940"/>
    <w:rsid w:val="001F6DA2"/>
    <w:rsid w:val="00213ED9"/>
    <w:rsid w:val="00220EE0"/>
    <w:rsid w:val="00221B2B"/>
    <w:rsid w:val="0022266A"/>
    <w:rsid w:val="002233A6"/>
    <w:rsid w:val="002238B7"/>
    <w:rsid w:val="00227F9D"/>
    <w:rsid w:val="00232191"/>
    <w:rsid w:val="0023499F"/>
    <w:rsid w:val="00234A3B"/>
    <w:rsid w:val="00236810"/>
    <w:rsid w:val="00244124"/>
    <w:rsid w:val="00247EB5"/>
    <w:rsid w:val="00251F0B"/>
    <w:rsid w:val="00253639"/>
    <w:rsid w:val="00256312"/>
    <w:rsid w:val="00261934"/>
    <w:rsid w:val="002708A2"/>
    <w:rsid w:val="00275907"/>
    <w:rsid w:val="00275BA4"/>
    <w:rsid w:val="00276373"/>
    <w:rsid w:val="00281222"/>
    <w:rsid w:val="00281C74"/>
    <w:rsid w:val="002873C7"/>
    <w:rsid w:val="00293225"/>
    <w:rsid w:val="00297132"/>
    <w:rsid w:val="002A1376"/>
    <w:rsid w:val="002A407F"/>
    <w:rsid w:val="002A57D4"/>
    <w:rsid w:val="002B161C"/>
    <w:rsid w:val="002B19D9"/>
    <w:rsid w:val="002B1A8E"/>
    <w:rsid w:val="002B1E74"/>
    <w:rsid w:val="002B2E80"/>
    <w:rsid w:val="002C63BE"/>
    <w:rsid w:val="002C7541"/>
    <w:rsid w:val="002D0B98"/>
    <w:rsid w:val="002D79BF"/>
    <w:rsid w:val="002E0313"/>
    <w:rsid w:val="002E2BCC"/>
    <w:rsid w:val="002E3D1A"/>
    <w:rsid w:val="002F350C"/>
    <w:rsid w:val="002F3A41"/>
    <w:rsid w:val="002F6148"/>
    <w:rsid w:val="00302B76"/>
    <w:rsid w:val="003041F2"/>
    <w:rsid w:val="003052AF"/>
    <w:rsid w:val="00312620"/>
    <w:rsid w:val="0031499F"/>
    <w:rsid w:val="00327077"/>
    <w:rsid w:val="003308BC"/>
    <w:rsid w:val="00335501"/>
    <w:rsid w:val="0034012A"/>
    <w:rsid w:val="0034260A"/>
    <w:rsid w:val="0034673B"/>
    <w:rsid w:val="00350EAF"/>
    <w:rsid w:val="00355ABC"/>
    <w:rsid w:val="00363F6A"/>
    <w:rsid w:val="003655BD"/>
    <w:rsid w:val="00367AC7"/>
    <w:rsid w:val="00367FEF"/>
    <w:rsid w:val="00370962"/>
    <w:rsid w:val="00380DF4"/>
    <w:rsid w:val="00382134"/>
    <w:rsid w:val="00383852"/>
    <w:rsid w:val="003905D1"/>
    <w:rsid w:val="00390DD0"/>
    <w:rsid w:val="00392DE2"/>
    <w:rsid w:val="003A7EEB"/>
    <w:rsid w:val="003B5987"/>
    <w:rsid w:val="003C0369"/>
    <w:rsid w:val="003C497A"/>
    <w:rsid w:val="003C6E09"/>
    <w:rsid w:val="003D28DF"/>
    <w:rsid w:val="003E2621"/>
    <w:rsid w:val="003E5865"/>
    <w:rsid w:val="003E5BC7"/>
    <w:rsid w:val="003E6619"/>
    <w:rsid w:val="003F1F94"/>
    <w:rsid w:val="003F6E41"/>
    <w:rsid w:val="003F715E"/>
    <w:rsid w:val="003F758E"/>
    <w:rsid w:val="004029BC"/>
    <w:rsid w:val="00405807"/>
    <w:rsid w:val="0041324D"/>
    <w:rsid w:val="00414AA3"/>
    <w:rsid w:val="00420283"/>
    <w:rsid w:val="00422A33"/>
    <w:rsid w:val="00424C73"/>
    <w:rsid w:val="0042617A"/>
    <w:rsid w:val="0043459D"/>
    <w:rsid w:val="0043687D"/>
    <w:rsid w:val="004378FD"/>
    <w:rsid w:val="004417E6"/>
    <w:rsid w:val="00445098"/>
    <w:rsid w:val="00446F16"/>
    <w:rsid w:val="0044778B"/>
    <w:rsid w:val="00454586"/>
    <w:rsid w:val="00457004"/>
    <w:rsid w:val="00463B5D"/>
    <w:rsid w:val="004723F1"/>
    <w:rsid w:val="00472FB1"/>
    <w:rsid w:val="00473B7B"/>
    <w:rsid w:val="00474B5B"/>
    <w:rsid w:val="00475DB7"/>
    <w:rsid w:val="00481768"/>
    <w:rsid w:val="004838FE"/>
    <w:rsid w:val="004859E4"/>
    <w:rsid w:val="00485DC9"/>
    <w:rsid w:val="00487C57"/>
    <w:rsid w:val="00493F95"/>
    <w:rsid w:val="00497661"/>
    <w:rsid w:val="004A0BD5"/>
    <w:rsid w:val="004A0F0C"/>
    <w:rsid w:val="004B29BE"/>
    <w:rsid w:val="004B4608"/>
    <w:rsid w:val="004B51DC"/>
    <w:rsid w:val="004B6826"/>
    <w:rsid w:val="004C71C1"/>
    <w:rsid w:val="004E0BE3"/>
    <w:rsid w:val="004E1F8B"/>
    <w:rsid w:val="004E3EA3"/>
    <w:rsid w:val="004F1E0E"/>
    <w:rsid w:val="004F4D18"/>
    <w:rsid w:val="004F5A7E"/>
    <w:rsid w:val="005000A4"/>
    <w:rsid w:val="005004EE"/>
    <w:rsid w:val="00506CE3"/>
    <w:rsid w:val="00510F1C"/>
    <w:rsid w:val="00521FD1"/>
    <w:rsid w:val="005258C4"/>
    <w:rsid w:val="00527300"/>
    <w:rsid w:val="0052752A"/>
    <w:rsid w:val="00530950"/>
    <w:rsid w:val="005331B5"/>
    <w:rsid w:val="005348BD"/>
    <w:rsid w:val="0053588B"/>
    <w:rsid w:val="0054307D"/>
    <w:rsid w:val="0054395E"/>
    <w:rsid w:val="00545897"/>
    <w:rsid w:val="00550EC4"/>
    <w:rsid w:val="00573BCF"/>
    <w:rsid w:val="0057670A"/>
    <w:rsid w:val="00593CC8"/>
    <w:rsid w:val="005A1BB4"/>
    <w:rsid w:val="005A4CFF"/>
    <w:rsid w:val="005A5049"/>
    <w:rsid w:val="005A5E5A"/>
    <w:rsid w:val="005A6C42"/>
    <w:rsid w:val="005B0AA2"/>
    <w:rsid w:val="005C10E7"/>
    <w:rsid w:val="005C162D"/>
    <w:rsid w:val="005C2417"/>
    <w:rsid w:val="005C3331"/>
    <w:rsid w:val="005C38D7"/>
    <w:rsid w:val="005C3B70"/>
    <w:rsid w:val="005C500F"/>
    <w:rsid w:val="005C788D"/>
    <w:rsid w:val="005D4F86"/>
    <w:rsid w:val="005E7393"/>
    <w:rsid w:val="005E7E6E"/>
    <w:rsid w:val="005F07AB"/>
    <w:rsid w:val="005F57A9"/>
    <w:rsid w:val="00602285"/>
    <w:rsid w:val="00605547"/>
    <w:rsid w:val="00612ED6"/>
    <w:rsid w:val="00613358"/>
    <w:rsid w:val="006148A8"/>
    <w:rsid w:val="00617203"/>
    <w:rsid w:val="006213F7"/>
    <w:rsid w:val="0062157B"/>
    <w:rsid w:val="00622F0A"/>
    <w:rsid w:val="00631823"/>
    <w:rsid w:val="00635A41"/>
    <w:rsid w:val="00640452"/>
    <w:rsid w:val="00643508"/>
    <w:rsid w:val="0064401F"/>
    <w:rsid w:val="00645E1E"/>
    <w:rsid w:val="00650EE3"/>
    <w:rsid w:val="00651C9F"/>
    <w:rsid w:val="006548A1"/>
    <w:rsid w:val="00654C3F"/>
    <w:rsid w:val="00657CEA"/>
    <w:rsid w:val="00661BA9"/>
    <w:rsid w:val="00662A9E"/>
    <w:rsid w:val="00666A46"/>
    <w:rsid w:val="0067241B"/>
    <w:rsid w:val="006745A2"/>
    <w:rsid w:val="00674F3E"/>
    <w:rsid w:val="006759E2"/>
    <w:rsid w:val="00677E75"/>
    <w:rsid w:val="00680B71"/>
    <w:rsid w:val="00684448"/>
    <w:rsid w:val="00685D68"/>
    <w:rsid w:val="00686B6F"/>
    <w:rsid w:val="00690438"/>
    <w:rsid w:val="00691F35"/>
    <w:rsid w:val="0069452A"/>
    <w:rsid w:val="006A1F5B"/>
    <w:rsid w:val="006A3651"/>
    <w:rsid w:val="006B076A"/>
    <w:rsid w:val="006B31F0"/>
    <w:rsid w:val="006B79F6"/>
    <w:rsid w:val="006C38F9"/>
    <w:rsid w:val="006C402C"/>
    <w:rsid w:val="006C4702"/>
    <w:rsid w:val="006C53B4"/>
    <w:rsid w:val="006C6394"/>
    <w:rsid w:val="006E0C46"/>
    <w:rsid w:val="006E46B7"/>
    <w:rsid w:val="006E5AC0"/>
    <w:rsid w:val="006E7C9B"/>
    <w:rsid w:val="006F1899"/>
    <w:rsid w:val="006F35D4"/>
    <w:rsid w:val="006F6950"/>
    <w:rsid w:val="00701811"/>
    <w:rsid w:val="00706487"/>
    <w:rsid w:val="007072D5"/>
    <w:rsid w:val="00720835"/>
    <w:rsid w:val="00721074"/>
    <w:rsid w:val="00723AAC"/>
    <w:rsid w:val="00726F35"/>
    <w:rsid w:val="007320F7"/>
    <w:rsid w:val="00732913"/>
    <w:rsid w:val="00733376"/>
    <w:rsid w:val="007358EB"/>
    <w:rsid w:val="0074021B"/>
    <w:rsid w:val="00742771"/>
    <w:rsid w:val="00742872"/>
    <w:rsid w:val="007451B3"/>
    <w:rsid w:val="0074568B"/>
    <w:rsid w:val="00751E51"/>
    <w:rsid w:val="00752741"/>
    <w:rsid w:val="00762E03"/>
    <w:rsid w:val="007631ED"/>
    <w:rsid w:val="0076385A"/>
    <w:rsid w:val="00763B7C"/>
    <w:rsid w:val="00765590"/>
    <w:rsid w:val="00774AE2"/>
    <w:rsid w:val="007764D4"/>
    <w:rsid w:val="0077754F"/>
    <w:rsid w:val="00777EB6"/>
    <w:rsid w:val="0078157D"/>
    <w:rsid w:val="0078542E"/>
    <w:rsid w:val="0079242A"/>
    <w:rsid w:val="00796C0A"/>
    <w:rsid w:val="007A60DE"/>
    <w:rsid w:val="007A649B"/>
    <w:rsid w:val="007C1F9F"/>
    <w:rsid w:val="007C52F2"/>
    <w:rsid w:val="007D1897"/>
    <w:rsid w:val="007D70BB"/>
    <w:rsid w:val="007E0472"/>
    <w:rsid w:val="007E33C0"/>
    <w:rsid w:val="007E7108"/>
    <w:rsid w:val="007F1451"/>
    <w:rsid w:val="007F2839"/>
    <w:rsid w:val="007F54E8"/>
    <w:rsid w:val="007F77B1"/>
    <w:rsid w:val="00801B97"/>
    <w:rsid w:val="0080386D"/>
    <w:rsid w:val="008129A7"/>
    <w:rsid w:val="00814890"/>
    <w:rsid w:val="00822294"/>
    <w:rsid w:val="00827084"/>
    <w:rsid w:val="008270FC"/>
    <w:rsid w:val="00831AFF"/>
    <w:rsid w:val="008335A9"/>
    <w:rsid w:val="00834B86"/>
    <w:rsid w:val="00841CE3"/>
    <w:rsid w:val="008565DB"/>
    <w:rsid w:val="00860F0E"/>
    <w:rsid w:val="0086205B"/>
    <w:rsid w:val="00866ABE"/>
    <w:rsid w:val="00867F37"/>
    <w:rsid w:val="00872844"/>
    <w:rsid w:val="00876D5A"/>
    <w:rsid w:val="00884FDE"/>
    <w:rsid w:val="00893C63"/>
    <w:rsid w:val="00893D15"/>
    <w:rsid w:val="00896621"/>
    <w:rsid w:val="008A4894"/>
    <w:rsid w:val="008B4EE5"/>
    <w:rsid w:val="008C0D24"/>
    <w:rsid w:val="008C2ADD"/>
    <w:rsid w:val="008C34A3"/>
    <w:rsid w:val="008C4B26"/>
    <w:rsid w:val="008C4BDF"/>
    <w:rsid w:val="008C6D38"/>
    <w:rsid w:val="008D0C86"/>
    <w:rsid w:val="008D4E2F"/>
    <w:rsid w:val="008D5431"/>
    <w:rsid w:val="008E0E59"/>
    <w:rsid w:val="008E4087"/>
    <w:rsid w:val="008E6BB3"/>
    <w:rsid w:val="008F015E"/>
    <w:rsid w:val="008F1B2D"/>
    <w:rsid w:val="008F2FFA"/>
    <w:rsid w:val="008F3D65"/>
    <w:rsid w:val="008F3F44"/>
    <w:rsid w:val="008F4C42"/>
    <w:rsid w:val="008F4FD8"/>
    <w:rsid w:val="008F69D4"/>
    <w:rsid w:val="00911AB2"/>
    <w:rsid w:val="00915788"/>
    <w:rsid w:val="00922F0D"/>
    <w:rsid w:val="00924E7A"/>
    <w:rsid w:val="0093021F"/>
    <w:rsid w:val="00931761"/>
    <w:rsid w:val="00933ECA"/>
    <w:rsid w:val="009341DF"/>
    <w:rsid w:val="00942C93"/>
    <w:rsid w:val="00943A16"/>
    <w:rsid w:val="00957504"/>
    <w:rsid w:val="0095753B"/>
    <w:rsid w:val="00957791"/>
    <w:rsid w:val="00960622"/>
    <w:rsid w:val="00960948"/>
    <w:rsid w:val="00962C3B"/>
    <w:rsid w:val="00964E69"/>
    <w:rsid w:val="009727B6"/>
    <w:rsid w:val="009728D7"/>
    <w:rsid w:val="00981E20"/>
    <w:rsid w:val="00995E4B"/>
    <w:rsid w:val="009A56DD"/>
    <w:rsid w:val="009B412A"/>
    <w:rsid w:val="009B661D"/>
    <w:rsid w:val="009B6FAF"/>
    <w:rsid w:val="009B7E46"/>
    <w:rsid w:val="009B7E56"/>
    <w:rsid w:val="009C13AB"/>
    <w:rsid w:val="009C7E42"/>
    <w:rsid w:val="009D50D9"/>
    <w:rsid w:val="009D76C2"/>
    <w:rsid w:val="009F226F"/>
    <w:rsid w:val="009F26AD"/>
    <w:rsid w:val="009F4A09"/>
    <w:rsid w:val="009F4CCF"/>
    <w:rsid w:val="009F6C56"/>
    <w:rsid w:val="00A0691F"/>
    <w:rsid w:val="00A10E3D"/>
    <w:rsid w:val="00A117F7"/>
    <w:rsid w:val="00A2033E"/>
    <w:rsid w:val="00A27096"/>
    <w:rsid w:val="00A27DFC"/>
    <w:rsid w:val="00A3790B"/>
    <w:rsid w:val="00A425A3"/>
    <w:rsid w:val="00A428C4"/>
    <w:rsid w:val="00A46703"/>
    <w:rsid w:val="00A525CF"/>
    <w:rsid w:val="00A619CD"/>
    <w:rsid w:val="00A64364"/>
    <w:rsid w:val="00A64B30"/>
    <w:rsid w:val="00A64F8C"/>
    <w:rsid w:val="00A65994"/>
    <w:rsid w:val="00A725C5"/>
    <w:rsid w:val="00A8001A"/>
    <w:rsid w:val="00A847F5"/>
    <w:rsid w:val="00A870A7"/>
    <w:rsid w:val="00A8713B"/>
    <w:rsid w:val="00A93A8B"/>
    <w:rsid w:val="00AA0461"/>
    <w:rsid w:val="00AA39A2"/>
    <w:rsid w:val="00AA75D1"/>
    <w:rsid w:val="00AB45F2"/>
    <w:rsid w:val="00AD5E6A"/>
    <w:rsid w:val="00AD71EE"/>
    <w:rsid w:val="00AD78DB"/>
    <w:rsid w:val="00AE2B56"/>
    <w:rsid w:val="00AE4605"/>
    <w:rsid w:val="00AE54DB"/>
    <w:rsid w:val="00AF1707"/>
    <w:rsid w:val="00AF2E61"/>
    <w:rsid w:val="00AF4AAF"/>
    <w:rsid w:val="00AF59FB"/>
    <w:rsid w:val="00B00090"/>
    <w:rsid w:val="00B009BB"/>
    <w:rsid w:val="00B03213"/>
    <w:rsid w:val="00B06BB8"/>
    <w:rsid w:val="00B077E5"/>
    <w:rsid w:val="00B14882"/>
    <w:rsid w:val="00B15C88"/>
    <w:rsid w:val="00B27630"/>
    <w:rsid w:val="00B3183E"/>
    <w:rsid w:val="00B46D1B"/>
    <w:rsid w:val="00B523FE"/>
    <w:rsid w:val="00B53325"/>
    <w:rsid w:val="00B614FB"/>
    <w:rsid w:val="00B63D51"/>
    <w:rsid w:val="00B714EE"/>
    <w:rsid w:val="00B83628"/>
    <w:rsid w:val="00B8592B"/>
    <w:rsid w:val="00B94D9D"/>
    <w:rsid w:val="00BA3105"/>
    <w:rsid w:val="00BA7A67"/>
    <w:rsid w:val="00BB5243"/>
    <w:rsid w:val="00BC68E0"/>
    <w:rsid w:val="00BC7FDF"/>
    <w:rsid w:val="00BD10CE"/>
    <w:rsid w:val="00BD1583"/>
    <w:rsid w:val="00BD1805"/>
    <w:rsid w:val="00BD35DA"/>
    <w:rsid w:val="00BD386A"/>
    <w:rsid w:val="00BD662C"/>
    <w:rsid w:val="00BE2931"/>
    <w:rsid w:val="00BE3F4A"/>
    <w:rsid w:val="00BE76A2"/>
    <w:rsid w:val="00BF19D5"/>
    <w:rsid w:val="00BF7F30"/>
    <w:rsid w:val="00C00C65"/>
    <w:rsid w:val="00C00DC0"/>
    <w:rsid w:val="00C01696"/>
    <w:rsid w:val="00C11B2A"/>
    <w:rsid w:val="00C1598C"/>
    <w:rsid w:val="00C17895"/>
    <w:rsid w:val="00C24C30"/>
    <w:rsid w:val="00C25003"/>
    <w:rsid w:val="00C30119"/>
    <w:rsid w:val="00C3013E"/>
    <w:rsid w:val="00C31701"/>
    <w:rsid w:val="00C35424"/>
    <w:rsid w:val="00C35B1B"/>
    <w:rsid w:val="00C36B55"/>
    <w:rsid w:val="00C36D15"/>
    <w:rsid w:val="00C42B6E"/>
    <w:rsid w:val="00C42BD4"/>
    <w:rsid w:val="00C47CB5"/>
    <w:rsid w:val="00C52CD4"/>
    <w:rsid w:val="00C6170C"/>
    <w:rsid w:val="00C6767F"/>
    <w:rsid w:val="00C84AA3"/>
    <w:rsid w:val="00C91F55"/>
    <w:rsid w:val="00C96E77"/>
    <w:rsid w:val="00CA598F"/>
    <w:rsid w:val="00CB60D7"/>
    <w:rsid w:val="00CC5029"/>
    <w:rsid w:val="00CD68CF"/>
    <w:rsid w:val="00CE55DD"/>
    <w:rsid w:val="00CF1F6C"/>
    <w:rsid w:val="00D01BF2"/>
    <w:rsid w:val="00D0302F"/>
    <w:rsid w:val="00D06D01"/>
    <w:rsid w:val="00D12384"/>
    <w:rsid w:val="00D23864"/>
    <w:rsid w:val="00D30218"/>
    <w:rsid w:val="00D321AF"/>
    <w:rsid w:val="00D33679"/>
    <w:rsid w:val="00D53A82"/>
    <w:rsid w:val="00D55D31"/>
    <w:rsid w:val="00D60F3F"/>
    <w:rsid w:val="00D62594"/>
    <w:rsid w:val="00D63772"/>
    <w:rsid w:val="00D63ECC"/>
    <w:rsid w:val="00D644D5"/>
    <w:rsid w:val="00D70FC5"/>
    <w:rsid w:val="00D77933"/>
    <w:rsid w:val="00D8379E"/>
    <w:rsid w:val="00D97BE2"/>
    <w:rsid w:val="00DA29FC"/>
    <w:rsid w:val="00DA5F4F"/>
    <w:rsid w:val="00DB203C"/>
    <w:rsid w:val="00DB461C"/>
    <w:rsid w:val="00DC6709"/>
    <w:rsid w:val="00DC6AA0"/>
    <w:rsid w:val="00DD6479"/>
    <w:rsid w:val="00DE0740"/>
    <w:rsid w:val="00DE1450"/>
    <w:rsid w:val="00DE3542"/>
    <w:rsid w:val="00DE48D0"/>
    <w:rsid w:val="00DF02A9"/>
    <w:rsid w:val="00DF1C22"/>
    <w:rsid w:val="00E010C8"/>
    <w:rsid w:val="00E03887"/>
    <w:rsid w:val="00E04AED"/>
    <w:rsid w:val="00E07A7B"/>
    <w:rsid w:val="00E12E09"/>
    <w:rsid w:val="00E12E0A"/>
    <w:rsid w:val="00E1532D"/>
    <w:rsid w:val="00E17710"/>
    <w:rsid w:val="00E254CC"/>
    <w:rsid w:val="00E26BB9"/>
    <w:rsid w:val="00E35C55"/>
    <w:rsid w:val="00E428CD"/>
    <w:rsid w:val="00E44BEB"/>
    <w:rsid w:val="00E62A2A"/>
    <w:rsid w:val="00E63E4B"/>
    <w:rsid w:val="00E66CF6"/>
    <w:rsid w:val="00E71336"/>
    <w:rsid w:val="00E71809"/>
    <w:rsid w:val="00E8183D"/>
    <w:rsid w:val="00E83925"/>
    <w:rsid w:val="00E86B28"/>
    <w:rsid w:val="00E9102A"/>
    <w:rsid w:val="00E91AEB"/>
    <w:rsid w:val="00E92A83"/>
    <w:rsid w:val="00E95DFC"/>
    <w:rsid w:val="00E97035"/>
    <w:rsid w:val="00E97975"/>
    <w:rsid w:val="00EA4DA8"/>
    <w:rsid w:val="00EB2C43"/>
    <w:rsid w:val="00EB5116"/>
    <w:rsid w:val="00EC095A"/>
    <w:rsid w:val="00EC13FA"/>
    <w:rsid w:val="00EC1E81"/>
    <w:rsid w:val="00EC2BB0"/>
    <w:rsid w:val="00ED6E7B"/>
    <w:rsid w:val="00EE0AF7"/>
    <w:rsid w:val="00EE5BDD"/>
    <w:rsid w:val="00EF081F"/>
    <w:rsid w:val="00EF449F"/>
    <w:rsid w:val="00F00000"/>
    <w:rsid w:val="00F0400B"/>
    <w:rsid w:val="00F06F4F"/>
    <w:rsid w:val="00F103B5"/>
    <w:rsid w:val="00F148CE"/>
    <w:rsid w:val="00F22033"/>
    <w:rsid w:val="00F24A14"/>
    <w:rsid w:val="00F27209"/>
    <w:rsid w:val="00F277B9"/>
    <w:rsid w:val="00F27889"/>
    <w:rsid w:val="00F3334D"/>
    <w:rsid w:val="00F34635"/>
    <w:rsid w:val="00F36839"/>
    <w:rsid w:val="00F42666"/>
    <w:rsid w:val="00F43D55"/>
    <w:rsid w:val="00F46AF6"/>
    <w:rsid w:val="00F541F7"/>
    <w:rsid w:val="00F55071"/>
    <w:rsid w:val="00F5609C"/>
    <w:rsid w:val="00F61BAD"/>
    <w:rsid w:val="00F61E56"/>
    <w:rsid w:val="00F648C6"/>
    <w:rsid w:val="00F64BAE"/>
    <w:rsid w:val="00F6613F"/>
    <w:rsid w:val="00F71B24"/>
    <w:rsid w:val="00F71C48"/>
    <w:rsid w:val="00F761AD"/>
    <w:rsid w:val="00F76398"/>
    <w:rsid w:val="00F76908"/>
    <w:rsid w:val="00F77522"/>
    <w:rsid w:val="00F85014"/>
    <w:rsid w:val="00F85C3E"/>
    <w:rsid w:val="00F86CED"/>
    <w:rsid w:val="00F9031F"/>
    <w:rsid w:val="00F95CBD"/>
    <w:rsid w:val="00F96B68"/>
    <w:rsid w:val="00FB0EDB"/>
    <w:rsid w:val="00FC03C3"/>
    <w:rsid w:val="00FC48F1"/>
    <w:rsid w:val="00FC6FD2"/>
    <w:rsid w:val="00FD65BF"/>
    <w:rsid w:val="00FD7FF6"/>
    <w:rsid w:val="00FE0B43"/>
    <w:rsid w:val="00FE2357"/>
    <w:rsid w:val="00FF4924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1B3A6"/>
  <w15:chartTrackingRefBased/>
  <w15:docId w15:val="{3F4767DB-F745-40E0-AA5B-634DB1AF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E7B"/>
  </w:style>
  <w:style w:type="paragraph" w:styleId="Nagwek1">
    <w:name w:val="heading 1"/>
    <w:basedOn w:val="Akapitzlist"/>
    <w:next w:val="Normalny"/>
    <w:link w:val="Nagwek1Znak"/>
    <w:uiPriority w:val="9"/>
    <w:qFormat/>
    <w:rsid w:val="00F43D55"/>
    <w:pPr>
      <w:numPr>
        <w:numId w:val="9"/>
      </w:numPr>
      <w:ind w:left="567" w:hanging="578"/>
      <w:outlineLvl w:val="0"/>
    </w:pPr>
    <w:rPr>
      <w:rFonts w:cstheme="minorHAnsi"/>
      <w:b/>
      <w:color w:val="0070C0"/>
      <w:szCs w:val="20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E8183D"/>
    <w:pPr>
      <w:numPr>
        <w:ilvl w:val="1"/>
      </w:numPr>
      <w:ind w:left="1134" w:hanging="567"/>
      <w:outlineLvl w:val="1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F1D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3">
    <w:name w:val="Grid Table 5 Dark Accent 3"/>
    <w:basedOn w:val="Standardowy"/>
    <w:uiPriority w:val="50"/>
    <w:rsid w:val="00390D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kapitzlist">
    <w:name w:val="List Paragraph"/>
    <w:basedOn w:val="Normalny"/>
    <w:uiPriority w:val="34"/>
    <w:qFormat/>
    <w:rsid w:val="00390D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D5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43D55"/>
    <w:rPr>
      <w:rFonts w:cstheme="minorHAnsi"/>
      <w:b/>
      <w:color w:val="0070C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6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6D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6D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D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D5A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F6D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B71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4EE"/>
  </w:style>
  <w:style w:type="paragraph" w:styleId="Stopka">
    <w:name w:val="footer"/>
    <w:basedOn w:val="Normalny"/>
    <w:link w:val="StopkaZnak"/>
    <w:uiPriority w:val="99"/>
    <w:unhideWhenUsed/>
    <w:rsid w:val="00B71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4EE"/>
  </w:style>
  <w:style w:type="paragraph" w:customStyle="1" w:styleId="Heading1AMC">
    <w:name w:val="Heading 1 AMC"/>
    <w:basedOn w:val="Nagwek5"/>
    <w:next w:val="Normalny"/>
    <w:qFormat/>
    <w:rsid w:val="000F1DE0"/>
    <w:pPr>
      <w:keepLines w:val="0"/>
      <w:shd w:val="clear" w:color="auto" w:fill="FBBC39"/>
      <w:tabs>
        <w:tab w:val="left" w:pos="1021"/>
        <w:tab w:val="left" w:pos="1077"/>
      </w:tabs>
      <w:spacing w:before="360" w:line="240" w:lineRule="auto"/>
    </w:pPr>
    <w:rPr>
      <w:rFonts w:asciiTheme="minorHAnsi" w:eastAsia="Times New Roman" w:hAnsiTheme="minorHAnsi" w:cs="Times New Roman"/>
      <w:b/>
      <w:color w:val="FFFFFF" w:themeColor="background1"/>
      <w:sz w:val="32"/>
      <w:szCs w:val="24"/>
      <w:lang w:eastAsia="de-DE"/>
    </w:rPr>
  </w:style>
  <w:style w:type="table" w:customStyle="1" w:styleId="easaTable">
    <w:name w:val="easaTable"/>
    <w:uiPriority w:val="99"/>
    <w:rsid w:val="000F1DE0"/>
    <w:pPr>
      <w:spacing w:after="0" w:line="240" w:lineRule="auto"/>
    </w:pPr>
    <w:rPr>
      <w:sz w:val="20"/>
      <w:szCs w:val="20"/>
      <w:lang w:val="pl-PL" w:eastAsia="en-GB"/>
    </w:rPr>
    <w:tblPr>
      <w:tblInd w:w="0" w:type="dxa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background1" w:themeFillShade="D9"/>
    </w:tcPr>
    <w:tblStylePr w:type="firstRow">
      <w:rPr>
        <w:b/>
        <w:color w:val="FFFFFF" w:themeColor="background1"/>
      </w:rPr>
      <w:tblPr/>
      <w:trPr>
        <w:cantSplit/>
        <w:tblHeader/>
      </w:trPr>
      <w:tcPr>
        <w:shd w:val="clear" w:color="auto" w:fill="808080" w:themeFill="background1" w:themeFillShade="80"/>
      </w:tcPr>
    </w:tblStylePr>
    <w:tblStylePr w:type="firstCol">
      <w:rPr>
        <w:b/>
        <w:color w:val="FFFFFF" w:themeColor="background1"/>
      </w:rPr>
      <w:tblPr/>
      <w:tcPr>
        <w:shd w:val="clear" w:color="auto" w:fill="808080" w:themeFill="background1" w:themeFillShade="80"/>
      </w:tcPr>
    </w:tblStyle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F1DE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rsid w:val="00E8183D"/>
    <w:rPr>
      <w:rFonts w:cstheme="minorHAnsi"/>
      <w:b/>
      <w:color w:val="0070C0"/>
      <w:szCs w:val="20"/>
    </w:rPr>
  </w:style>
  <w:style w:type="paragraph" w:customStyle="1" w:styleId="Default">
    <w:name w:val="Default"/>
    <w:rsid w:val="008C4B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egenda">
    <w:name w:val="caption"/>
    <w:basedOn w:val="Normalny"/>
    <w:next w:val="Normalny"/>
    <w:unhideWhenUsed/>
    <w:rsid w:val="00035C1B"/>
    <w:pPr>
      <w:spacing w:after="200" w:line="240" w:lineRule="auto"/>
    </w:pPr>
    <w:rPr>
      <w:rFonts w:ascii="Arial" w:eastAsia="Times New Roman" w:hAnsi="Arial" w:cs="Times New Roman"/>
      <w:i/>
      <w:iCs/>
      <w:color w:val="44546A" w:themeColor="text2"/>
      <w:sz w:val="18"/>
      <w:szCs w:val="18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5C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5C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5C1B"/>
    <w:rPr>
      <w:vertAlign w:val="superscript"/>
    </w:rPr>
  </w:style>
  <w:style w:type="paragraph" w:customStyle="1" w:styleId="TableNormal">
    <w:name w:val="TableNormal"/>
    <w:basedOn w:val="Normalny"/>
    <w:qFormat/>
    <w:rsid w:val="000B52F9"/>
    <w:pPr>
      <w:spacing w:after="0" w:line="240" w:lineRule="auto"/>
    </w:pPr>
    <w:rPr>
      <w:rFonts w:eastAsia="Times New Roman" w:cs="Times New Roman"/>
      <w:sz w:val="20"/>
      <w:szCs w:val="24"/>
      <w:lang w:val="en-US" w:eastAsia="de-DE"/>
    </w:rPr>
  </w:style>
  <w:style w:type="paragraph" w:customStyle="1" w:styleId="Heading1OrgManual">
    <w:name w:val="Heading 1 OrgManual"/>
    <w:basedOn w:val="Normalny"/>
    <w:next w:val="Normalny"/>
    <w:qFormat/>
    <w:rsid w:val="000B52F9"/>
    <w:pPr>
      <w:spacing w:after="120" w:line="240" w:lineRule="auto"/>
      <w:jc w:val="center"/>
    </w:pPr>
    <w:rPr>
      <w:rFonts w:eastAsia="Times New Roman" w:cs="Times New Roman"/>
      <w:b/>
      <w:sz w:val="20"/>
      <w:szCs w:val="24"/>
      <w:lang w:val="en-US" w:eastAsia="de-DE"/>
    </w:rPr>
  </w:style>
  <w:style w:type="character" w:customStyle="1" w:styleId="Bold">
    <w:name w:val="Bold"/>
    <w:basedOn w:val="Domylnaczcionkaakapitu"/>
    <w:uiPriority w:val="1"/>
    <w:qFormat/>
    <w:rsid w:val="000B52F9"/>
    <w:rPr>
      <w:b/>
      <w:i w:val="0"/>
      <w:u w:val="none"/>
    </w:rPr>
  </w:style>
  <w:style w:type="paragraph" w:styleId="Spistreci2">
    <w:name w:val="toc 2"/>
    <w:basedOn w:val="Normalny"/>
    <w:next w:val="Normalny"/>
    <w:autoRedefine/>
    <w:rsid w:val="00721074"/>
    <w:pPr>
      <w:tabs>
        <w:tab w:val="left" w:pos="2412"/>
        <w:tab w:val="left" w:pos="5262"/>
        <w:tab w:val="right" w:pos="9520"/>
      </w:tabs>
      <w:suppressAutoHyphens/>
      <w:spacing w:after="60" w:line="240" w:lineRule="auto"/>
    </w:pPr>
    <w:rPr>
      <w:rFonts w:eastAsia="Times New Roman" w:cs="Times New Roman"/>
      <w:noProof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0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2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4063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58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3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12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0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68518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3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9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1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01606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02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2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8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92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03524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27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3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8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29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8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89083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2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9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7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63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6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81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23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7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0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6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2439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7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2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6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5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76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4970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18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2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5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0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49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5293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5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8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58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4991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13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8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6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1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74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74367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21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0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0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2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5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8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85804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51E01-0F13-4779-90B6-5B2CE7AE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3930</TotalTime>
  <Pages>3</Pages>
  <Words>2059</Words>
  <Characters>12358</Characters>
  <Application>Microsoft Office Word</Application>
  <DocSecurity>0</DocSecurity>
  <Lines>102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Aviation Safety Agency (EASA)</Company>
  <LinksUpToDate>false</LinksUpToDate>
  <CharactersWithSpaces>14389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Neveux Jeremie</dc:creator>
  <cp:keywords/>
  <dc:description/>
  <cp:lastModifiedBy>Paszowski Marek</cp:lastModifiedBy>
  <cp:revision>9</cp:revision>
  <cp:lastPrinted>2020-01-13T10:19:00Z</cp:lastPrinted>
  <dcterms:created xsi:type="dcterms:W3CDTF">2020-03-27T10:41:00Z</dcterms:created>
  <dcterms:modified xsi:type="dcterms:W3CDTF">2020-03-30T11:16:00Z</dcterms:modified>
</cp:coreProperties>
</file>