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8930"/>
      </w:tblGrid>
      <w:tr w:rsidR="004E0BE3" w:rsidRPr="00F85C3E" w14:paraId="00E0F097" w14:textId="77777777" w:rsidTr="00F33A51">
        <w:trPr>
          <w:cantSplit/>
          <w:tblHeader/>
        </w:trPr>
        <w:tc>
          <w:tcPr>
            <w:tcW w:w="2835" w:type="dxa"/>
            <w:shd w:val="pct10" w:color="auto" w:fill="auto"/>
            <w:vAlign w:val="center"/>
          </w:tcPr>
          <w:p w14:paraId="08CF2D52" w14:textId="72B0CB58" w:rsidR="00822294" w:rsidRPr="00827084" w:rsidRDefault="00841CE3" w:rsidP="002D6C9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Part-M </w:t>
            </w:r>
            <w:r w:rsidR="002D6C95">
              <w:rPr>
                <w:rFonts w:cs="Arial"/>
                <w:b/>
                <w:sz w:val="16"/>
                <w:szCs w:val="16"/>
                <w:lang w:val="pl-PL"/>
              </w:rPr>
              <w:t xml:space="preserve">/ 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G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o ile dotyczą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0F0A63C1" w14:textId="5E0964A8" w:rsidR="00822294" w:rsidRPr="00827084" w:rsidRDefault="00841CE3" w:rsidP="00841CE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Part-CAO </w:t>
            </w:r>
          </w:p>
        </w:tc>
        <w:tc>
          <w:tcPr>
            <w:tcW w:w="8930" w:type="dxa"/>
            <w:shd w:val="pct10" w:color="auto" w:fill="auto"/>
            <w:vAlign w:val="center"/>
          </w:tcPr>
          <w:p w14:paraId="1CA1A919" w14:textId="23C0023C" w:rsidR="00822294" w:rsidRPr="00827084" w:rsidRDefault="002D6C95" w:rsidP="002D6C9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Komentarz - dotyczy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przypadku Part-CAO z uznanymi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prawami nabytymi</w:t>
            </w:r>
          </w:p>
        </w:tc>
      </w:tr>
      <w:tr w:rsidR="004E0BE3" w:rsidRPr="00F85C3E" w14:paraId="7B831C69" w14:textId="77777777" w:rsidTr="00F33A51">
        <w:trPr>
          <w:cantSplit/>
          <w:trHeight w:val="139"/>
        </w:trPr>
        <w:tc>
          <w:tcPr>
            <w:tcW w:w="2835" w:type="dxa"/>
            <w:shd w:val="clear" w:color="auto" w:fill="FFFFFF" w:themeFill="background1"/>
            <w:vAlign w:val="center"/>
          </w:tcPr>
          <w:p w14:paraId="041186A3" w14:textId="1145338C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M.A.702 -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Wniosek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66D895" w14:textId="1E4F6E67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CAO.A.015 –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 xml:space="preserve">Wniosek o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c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ertyfikat organizacji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178F9CE8" w14:textId="0A7FE2D0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827084" w14:paraId="59D3F2B8" w14:textId="77777777" w:rsidTr="00F33A51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FE5E7D2" w14:textId="57024FCF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N/A –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Nowe wymagania wprowadzone przez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Part-CAO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61FB50E8" w14:textId="4EEE48F7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CAO.A.017 –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Sposoby spełnienia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14:paraId="4B0354AB" w14:textId="5F40D140" w:rsidR="00822294" w:rsidRPr="00827084" w:rsidRDefault="00822294" w:rsidP="00392719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F85C3E" w14:paraId="0A841E1B" w14:textId="77777777" w:rsidTr="00F33A51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3136B70" w14:textId="659ECCA1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M.A.703 –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Rozszerzenie zatwierdzenia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0B0D856D" w14:textId="0D7C612A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CAO.A.020 –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Warunki zatwierdzenia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14:paraId="5C6785C8" w14:textId="65E49F3D" w:rsidR="00822294" w:rsidRPr="00827084" w:rsidRDefault="00822294" w:rsidP="005258C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827084" w14:paraId="544EC0BB" w14:textId="77777777" w:rsidTr="00F33A51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9839A20" w14:textId="16FA6022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M.A.704 – </w:t>
            </w:r>
            <w:r w:rsidR="00841CE3" w:rsidRPr="00827084">
              <w:rPr>
                <w:rFonts w:cs="Arial"/>
                <w:sz w:val="16"/>
                <w:szCs w:val="16"/>
                <w:lang w:val="pl-PL"/>
              </w:rPr>
              <w:t>Charakterystyka zarządzania ciągła zdatnością do lotu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18BC6677" w14:textId="628D56F5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CAO.A.025 –</w:t>
            </w:r>
            <w:r w:rsidR="00AB6AA1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AB6AA1" w:rsidRPr="00827084">
              <w:rPr>
                <w:rFonts w:cs="Arial"/>
                <w:sz w:val="16"/>
                <w:szCs w:val="16"/>
                <w:lang w:val="pl-PL"/>
              </w:rPr>
              <w:t xml:space="preserve">Charakterystyka </w:t>
            </w:r>
            <w:r w:rsidR="00AB6AA1">
              <w:rPr>
                <w:rFonts w:cs="Arial"/>
                <w:sz w:val="16"/>
                <w:szCs w:val="16"/>
                <w:lang w:val="pl-PL"/>
              </w:rPr>
              <w:t>komplekso</w:t>
            </w:r>
            <w:bookmarkStart w:id="0" w:name="_GoBack"/>
            <w:bookmarkEnd w:id="0"/>
            <w:r w:rsidR="00AB6AA1">
              <w:rPr>
                <w:rFonts w:cs="Arial"/>
                <w:sz w:val="16"/>
                <w:szCs w:val="16"/>
                <w:lang w:val="pl-PL"/>
              </w:rPr>
              <w:t>wej zdatności do lotu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14:paraId="77D2A55B" w14:textId="2BC3105F" w:rsidR="00822294" w:rsidRPr="00827084" w:rsidRDefault="00822294" w:rsidP="00AB6AA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 w:hanging="319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CAE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składa się z następujących 4 części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:</w:t>
            </w:r>
          </w:p>
          <w:p w14:paraId="671E9DDA" w14:textId="6FB8D386" w:rsidR="00822294" w:rsidRPr="00827084" w:rsidRDefault="00424C73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A –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Opis ogólny</w:t>
            </w:r>
          </w:p>
          <w:p w14:paraId="1C9A8F89" w14:textId="238CB3C7" w:rsidR="00822294" w:rsidRPr="00827084" w:rsidRDefault="00424C73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B - 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Ogólne procedury</w:t>
            </w:r>
          </w:p>
          <w:p w14:paraId="70813E5A" w14:textId="403156CB" w:rsidR="00822294" w:rsidRPr="00827084" w:rsidRDefault="00424C73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C –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Procedury obsługi</w:t>
            </w:r>
          </w:p>
          <w:p w14:paraId="2941FCC1" w14:textId="1A9F58E7" w:rsidR="00822294" w:rsidRPr="00827084" w:rsidRDefault="00424C73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D –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Procedury zarządzania ciągłą zdatnością do lotu</w:t>
            </w:r>
          </w:p>
          <w:p w14:paraId="638A4DE8" w14:textId="45B6D727" w:rsidR="00822294" w:rsidRPr="00827084" w:rsidRDefault="00424C73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Część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E –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Dokumenty wspierające</w:t>
            </w:r>
          </w:p>
          <w:p w14:paraId="7FDEFBCB" w14:textId="77777777" w:rsidR="004C6056" w:rsidRDefault="00822294" w:rsidP="00AB6AA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Organi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zacja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Part-CAO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z uznanymi prawami </w:t>
            </w:r>
            <w:r w:rsidR="002E2BCC" w:rsidRPr="00827084">
              <w:rPr>
                <w:rFonts w:cs="Arial"/>
                <w:sz w:val="16"/>
                <w:szCs w:val="16"/>
                <w:lang w:val="pl-PL"/>
              </w:rPr>
              <w:t xml:space="preserve">nabytymi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w </w:t>
            </w:r>
            <w:r w:rsidR="005331B5" w:rsidRPr="00827084">
              <w:rPr>
                <w:rFonts w:cs="Arial"/>
                <w:sz w:val="16"/>
                <w:szCs w:val="16"/>
                <w:lang w:val="pl-PL"/>
              </w:rPr>
              <w:t>oparciu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 o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Part-MG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powinna przygotować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CAE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obejmującą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A,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B,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Część D 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Część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E. </w:t>
            </w:r>
          </w:p>
          <w:p w14:paraId="4BDB964C" w14:textId="549C00FE" w:rsidR="00822294" w:rsidRPr="00827084" w:rsidRDefault="00424C73" w:rsidP="00AB6AA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Dla ułatwienia organizacji przygotowanie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w oparciu o istniejącą charakterystykę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:</w:t>
            </w:r>
            <w:r w:rsidR="002E2BCC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4221B35B" w14:textId="3A642EDE" w:rsidR="00822294" w:rsidRPr="00827084" w:rsidRDefault="004C6056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Patrz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tab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e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l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a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porównująca charakterystykę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CAE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 xml:space="preserve">z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Part-MG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CAME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, </w:t>
            </w:r>
            <w:r w:rsidR="00424C73" w:rsidRPr="00827084">
              <w:rPr>
                <w:rFonts w:cs="Arial"/>
                <w:sz w:val="16"/>
                <w:szCs w:val="16"/>
                <w:lang w:val="pl-PL"/>
              </w:rPr>
              <w:t>i</w:t>
            </w:r>
          </w:p>
          <w:p w14:paraId="3DCCF4FA" w14:textId="7EBD9DBA" w:rsidR="00822294" w:rsidRPr="00AB6AA1" w:rsidRDefault="00E97975" w:rsidP="00AB6AA1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886" w:hanging="426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W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AMC1 CAO.A.025</w:t>
            </w:r>
            <w:r w:rsidR="004C6056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znajduje się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s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 xml:space="preserve">zczegółowy spis treści CAE wraz z wymaganiami CAO, które mają być </w:t>
            </w:r>
            <w:r>
              <w:rPr>
                <w:rFonts w:cs="Arial"/>
                <w:sz w:val="16"/>
                <w:szCs w:val="16"/>
                <w:lang w:val="pl-PL"/>
              </w:rPr>
              <w:t>u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 xml:space="preserve">jęte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w 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>każd</w:t>
            </w:r>
            <w:r>
              <w:rPr>
                <w:rFonts w:cs="Arial"/>
                <w:sz w:val="16"/>
                <w:szCs w:val="16"/>
                <w:lang w:val="pl-PL"/>
              </w:rPr>
              <w:t>ej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 xml:space="preserve"> sekcj</w:t>
            </w:r>
            <w:r>
              <w:rPr>
                <w:rFonts w:cs="Arial"/>
                <w:sz w:val="16"/>
                <w:szCs w:val="16"/>
                <w:lang w:val="pl-PL"/>
              </w:rPr>
              <w:t>i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 xml:space="preserve"> CAE </w:t>
            </w:r>
          </w:p>
          <w:p w14:paraId="7ADEE6F2" w14:textId="39C1B1C4" w:rsidR="00822294" w:rsidRPr="00827084" w:rsidRDefault="0013431F" w:rsidP="00AB6AA1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Organizacja powinna opracować</w:t>
            </w:r>
            <w:r w:rsidR="00521FD1" w:rsidRPr="00827084">
              <w:rPr>
                <w:rFonts w:cs="Arial"/>
                <w:sz w:val="16"/>
                <w:szCs w:val="16"/>
                <w:lang w:val="pl-PL"/>
              </w:rPr>
              <w:t xml:space="preserve"> CAE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w celu uwzględnienia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CAO.A.025. </w:t>
            </w:r>
          </w:p>
        </w:tc>
      </w:tr>
      <w:tr w:rsidR="004E0BE3" w:rsidRPr="00F85C3E" w14:paraId="4F86CD87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6C44B8A5" w14:textId="477679B1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M.A.705 -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Obiekty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36C95AB" w14:textId="67FEF58A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CAO.A.030 -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Obiekty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17B68130" w14:textId="46088FBD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F85C3E" w14:paraId="6B003665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1878BA3" w14:textId="12CFBC1C" w:rsidR="00822294" w:rsidRPr="00827084" w:rsidRDefault="00F33A51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M.A.706 -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Wymagania dotyczące personelu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804ACA7" w14:textId="2003A2CB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CAO.A.035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Wymagania dotyczące personelu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6606499" w14:textId="517F165B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F85C3E" w14:paraId="0DB4D3CF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233A16E" w14:textId="55E29F71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M.A.707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Personel przeglądu zdatności do lotu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1C49942" w14:textId="5716F62C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CAO.A.045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Personel przeglądu zdatności do lotu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3E383778" w14:textId="67031C6C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827084" w14:paraId="60276F92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26DFC41C" w14:textId="4772DA1E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M.A.708(a)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221B2B" w:rsidRPr="00827084" w:rsidDel="00221B2B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Zarządzanie ciągłą zdatnością do lotu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1731F0A" w14:textId="7EA8F22C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CAO.A.075(a)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(b)–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Zarządzanie ciągłą zdatnością do lotu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2C4BA2F" w14:textId="6BA32340" w:rsidR="00822294" w:rsidRPr="00827084" w:rsidRDefault="00822294" w:rsidP="0013431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CAO.A.075 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>Zarządzanie ciągłą zdatnością do lotu jest poddawane przeglądowi w celu wyeliminowania zazębiania się z M.A.301 i ML.A.301. Podstawową zasadą jest to, że czysto techniczne wymagania są zawart</w:t>
            </w:r>
            <w:r w:rsidR="00AB6AA1">
              <w:rPr>
                <w:rFonts w:cs="Arial"/>
                <w:sz w:val="16"/>
                <w:szCs w:val="16"/>
                <w:lang w:val="pl-PL"/>
              </w:rPr>
              <w:t>e w Part-M i Part-ML, a Part-CA</w:t>
            </w:r>
            <w:r w:rsidR="0013431F" w:rsidRPr="00827084">
              <w:rPr>
                <w:rFonts w:cs="Arial"/>
                <w:sz w:val="16"/>
                <w:szCs w:val="16"/>
                <w:lang w:val="pl-PL"/>
              </w:rPr>
              <w:t xml:space="preserve">O koncentruje się na powiązanych obowiązkach organizacyjnych. Poprawi to spójność i ułatwi przyszłe zmiany </w:t>
            </w:r>
          </w:p>
        </w:tc>
      </w:tr>
      <w:tr w:rsidR="004E0BE3" w:rsidRPr="00F85C3E" w14:paraId="21FB1C37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1DDEF224" w14:textId="1F21DA2F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M.A.709 – Do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kumentacja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FC0568" w14:textId="683F8A6A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CAO.A.080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 xml:space="preserve">Dane </w:t>
            </w:r>
            <w:r w:rsidR="00F33A51">
              <w:rPr>
                <w:rFonts w:cs="Arial"/>
                <w:sz w:val="16"/>
                <w:szCs w:val="16"/>
                <w:lang w:val="pl-PL"/>
              </w:rPr>
              <w:t>dotyczące zarządzania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 xml:space="preserve"> ciągłą zdatnością do lotu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3B680E58" w14:textId="5F923DEC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F85C3E" w14:paraId="6DDB2BFD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39762014" w14:textId="4C79B892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M.A.710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Przegląd zdatności do lotu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3B97EA7" w14:textId="252CE1CD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CAO.A.085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Przegląd zdatności do lotu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9E035" w14:textId="344F7ABA" w:rsidR="00822294" w:rsidRPr="00827084" w:rsidRDefault="0013431F" w:rsidP="00F33A51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Treść istniejącego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M.A.710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zastąpion</w:t>
            </w:r>
            <w:r w:rsidR="002E2BCC">
              <w:rPr>
                <w:rFonts w:cs="Arial"/>
                <w:sz w:val="16"/>
                <w:szCs w:val="16"/>
                <w:lang w:val="pl-PL"/>
              </w:rPr>
              <w:t>o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wymaganiem do przestrzegania albo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Part-M Se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kcja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A p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u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n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k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t M.A.901 </w:t>
            </w:r>
            <w:r w:rsidR="002E2BCC">
              <w:rPr>
                <w:rFonts w:cs="Arial"/>
                <w:sz w:val="16"/>
                <w:szCs w:val="16"/>
                <w:lang w:val="pl-PL"/>
              </w:rPr>
              <w:t>albo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Part-ML Se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kcja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A p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u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n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k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t ML.903, 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>w zależności od zarządzanych statków powietrznych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. 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>Konkretne element</w:t>
            </w:r>
            <w:r w:rsidR="002E2BCC">
              <w:rPr>
                <w:rFonts w:cs="Arial"/>
                <w:sz w:val="16"/>
                <w:szCs w:val="16"/>
                <w:lang w:val="pl-PL"/>
              </w:rPr>
              <w:t>y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 xml:space="preserve"> składające się na proces przeglądu zdatności do lotu</w:t>
            </w:r>
            <w:r w:rsidR="00F33A51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 xml:space="preserve">są przeniesione do tych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Part-M 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>i</w:t>
            </w:r>
            <w:r w:rsidR="00F33A51">
              <w:rPr>
                <w:rFonts w:cs="Arial"/>
                <w:sz w:val="16"/>
                <w:szCs w:val="16"/>
                <w:lang w:val="pl-PL"/>
              </w:rPr>
              <w:t xml:space="preserve"> Part-ML podsekcja I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.</w:t>
            </w:r>
          </w:p>
        </w:tc>
      </w:tr>
      <w:tr w:rsidR="004E0BE3" w:rsidRPr="00F85C3E" w14:paraId="59B01180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C3387D8" w14:textId="16423604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M.A.714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Przechowywanie dokumentacji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EF118F" w14:textId="0A9154A7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CAO.A.090(a)(2)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(3)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(4)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(f)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(g)</w:t>
            </w:r>
            <w:r w:rsidR="00F33A51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(2)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Przechowywanie dokumentacji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0181553F" w14:textId="1B613273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F85C3E" w14:paraId="572EADAC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529C3D82" w14:textId="51DB0060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M.A.711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EF079A5" w14:textId="4C404B7C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CAO.A.095(b)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(e)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A778B79" w14:textId="01BD8175" w:rsidR="00006B72" w:rsidRDefault="00006B72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  <w:p w14:paraId="3DF872E6" w14:textId="77777777" w:rsidR="00006B72" w:rsidRPr="00006B72" w:rsidRDefault="00006B72" w:rsidP="00006B72">
            <w:pPr>
              <w:rPr>
                <w:rFonts w:cs="Arial"/>
                <w:sz w:val="16"/>
                <w:szCs w:val="16"/>
                <w:lang w:val="pl-PL"/>
              </w:rPr>
            </w:pPr>
          </w:p>
          <w:p w14:paraId="234326BA" w14:textId="77777777" w:rsidR="00006B72" w:rsidRPr="00006B72" w:rsidRDefault="00006B72" w:rsidP="00006B72">
            <w:pPr>
              <w:rPr>
                <w:rFonts w:cs="Arial"/>
                <w:sz w:val="16"/>
                <w:szCs w:val="16"/>
                <w:lang w:val="pl-PL"/>
              </w:rPr>
            </w:pPr>
          </w:p>
          <w:p w14:paraId="1FE2A74E" w14:textId="77777777" w:rsidR="00006B72" w:rsidRPr="00006B72" w:rsidRDefault="00006B72" w:rsidP="00006B72">
            <w:pPr>
              <w:rPr>
                <w:rFonts w:cs="Arial"/>
                <w:sz w:val="16"/>
                <w:szCs w:val="16"/>
                <w:lang w:val="pl-PL"/>
              </w:rPr>
            </w:pPr>
          </w:p>
          <w:p w14:paraId="5E1C0D5D" w14:textId="62317F04" w:rsidR="00822294" w:rsidRPr="00006B72" w:rsidRDefault="00822294" w:rsidP="00006B72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4E0BE3" w:rsidRPr="00F85C3E" w14:paraId="2595221E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77653B1B" w14:textId="54AD6908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lastRenderedPageBreak/>
              <w:t xml:space="preserve">M.A.712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System jakości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1996330" w14:textId="47FF8630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CAO.A.100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 xml:space="preserve">System jakości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i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 xml:space="preserve"> przegląd organizacyjny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1EFAFDF" w14:textId="058784D4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Part-CAO 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>może zdecydować o zastąpieniu swojego systemu jakości przeglądem organizacyjnym, gdy spełniony zostanie jeden z poniższych warunków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:</w:t>
            </w:r>
            <w:r w:rsidR="006E46B7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223B6618" w14:textId="6167581A" w:rsidR="00822294" w:rsidRPr="00827084" w:rsidRDefault="006E46B7" w:rsidP="00F33A5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Zakres CAO obejmuje wyłącznie statki powietrzne objęte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Part-ML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5BC87910" w14:textId="0B4188BA" w:rsidR="00822294" w:rsidRPr="00827084" w:rsidRDefault="006E46B7" w:rsidP="00F33A5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 nie zatrudnia więcej niż 10 pełnoetatowych pracowników zajmujących się obsługą</w:t>
            </w:r>
          </w:p>
          <w:p w14:paraId="0F5AB317" w14:textId="639D8295" w:rsidR="00006B72" w:rsidRDefault="006E46B7" w:rsidP="00F33A5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 nie zatrudnia więcej niż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5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pełnoetatowych  pracowników zajmujących się zarządzaniem ciągłą zdatnością do lotu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2CA78A96" w14:textId="77777777" w:rsidR="00822294" w:rsidRPr="00006B72" w:rsidRDefault="00822294" w:rsidP="00006B72">
            <w:pPr>
              <w:rPr>
                <w:lang w:val="pl-PL"/>
              </w:rPr>
            </w:pPr>
          </w:p>
        </w:tc>
      </w:tr>
      <w:tr w:rsidR="004E0BE3" w:rsidRPr="00F85C3E" w14:paraId="5519BB9A" w14:textId="77777777" w:rsidTr="00F33A51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54AAB8B" w14:textId="5B911E4F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M.A.713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Zmiany w zatwierdzonej organizacji ciągłej zdatności do lotu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CA3DABE" w14:textId="7E4FEC68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CAO.A.105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Zmiany w organizacji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14:paraId="520C6272" w14:textId="1573CC7C" w:rsidR="00822294" w:rsidRPr="00827084" w:rsidRDefault="006E46B7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 przeciwieństwie do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Part-MG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gdzie</w:t>
            </w:r>
            <w:r w:rsidR="00F33A51">
              <w:rPr>
                <w:rFonts w:cs="Arial"/>
                <w:sz w:val="16"/>
                <w:szCs w:val="16"/>
                <w:lang w:val="pl-PL"/>
              </w:rPr>
              <w:t xml:space="preserve"> zatwierdzenie charakterystyki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może </w:t>
            </w:r>
            <w:r w:rsidR="00E12E0A" w:rsidRPr="00827084">
              <w:rPr>
                <w:rFonts w:cs="Arial"/>
                <w:sz w:val="16"/>
                <w:szCs w:val="16"/>
                <w:lang w:val="pl-PL"/>
              </w:rPr>
              <w:t xml:space="preserve">opcjonalnie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być wykonane w oparciu o zatwierdzenie pośrednie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, Part-CAO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zobowiązuje organizację do opracowania procedury dotyczącej zmian niewymagających uprzedniej zgody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. </w:t>
            </w:r>
          </w:p>
          <w:p w14:paraId="3A7928A9" w14:textId="68586F6C" w:rsidR="00822294" w:rsidRPr="00827084" w:rsidRDefault="006E46B7" w:rsidP="00350EA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Zmiany niewymagające uprzedniej zgody będą zarządzane zgodnie z ustaleniami między organizacją a </w:t>
            </w:r>
            <w:r w:rsidR="00E12E0A" w:rsidRPr="00827084">
              <w:rPr>
                <w:rFonts w:cs="Arial"/>
                <w:sz w:val="16"/>
                <w:szCs w:val="16"/>
                <w:lang w:val="pl-PL"/>
              </w:rPr>
              <w:t>nadzorem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. </w:t>
            </w:r>
            <w:r w:rsidR="00350EAF" w:rsidRPr="00827084">
              <w:rPr>
                <w:rFonts w:cs="Arial"/>
                <w:sz w:val="16"/>
                <w:szCs w:val="16"/>
                <w:lang w:val="pl-PL"/>
              </w:rPr>
              <w:t xml:space="preserve">Organizacja, przed 24 września 2021r., powinna opracować procedurę, aby uwzględnić </w:t>
            </w:r>
            <w:r w:rsidR="00E12E0A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CAO.A. </w:t>
            </w:r>
            <w:r w:rsidR="00E12E0A" w:rsidRPr="00827084">
              <w:rPr>
                <w:rFonts w:cs="Arial"/>
                <w:sz w:val="16"/>
                <w:szCs w:val="16"/>
                <w:lang w:val="pl-PL"/>
              </w:rPr>
              <w:t>105.</w:t>
            </w:r>
          </w:p>
        </w:tc>
      </w:tr>
      <w:tr w:rsidR="004E0BE3" w:rsidRPr="00F85C3E" w14:paraId="7BFD0498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573EE57A" w14:textId="40371447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M.A.715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Ciągła ważność zatwierdzenia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2F64DB1" w14:textId="16EBDBE1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CAO.A.110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Ciągła ważność zatwierdzenia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0B23EB0D" w14:textId="07F2F4D3" w:rsidR="00822294" w:rsidRPr="00827084" w:rsidRDefault="00350EAF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Wprowadzono drobne zmiany w celu zaktualizowania odniesień i zapewnienia spójności w całej nowej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Part-CAO.</w:t>
            </w:r>
          </w:p>
        </w:tc>
      </w:tr>
      <w:tr w:rsidR="004E0BE3" w:rsidRPr="00F85C3E" w14:paraId="56632B2A" w14:textId="77777777" w:rsidTr="00F33A51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34A6483C" w14:textId="299B4102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M.A.716 -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Niezgodności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A2DF9F0" w14:textId="45B4C53A" w:rsidR="00822294" w:rsidRPr="00827084" w:rsidRDefault="00822294" w:rsidP="00F33A51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CAO.A.115 – </w:t>
            </w:r>
            <w:r w:rsidR="005C10E7" w:rsidRPr="00827084">
              <w:rPr>
                <w:rFonts w:cs="Arial"/>
                <w:sz w:val="16"/>
                <w:szCs w:val="16"/>
                <w:lang w:val="pl-PL"/>
              </w:rPr>
              <w:t>Niezgodności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00DA6BB8" w14:textId="706E0E0F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</w:tbl>
    <w:p w14:paraId="0058DAE9" w14:textId="4B8CAB54" w:rsidR="00822294" w:rsidRPr="00F33A51" w:rsidRDefault="00822294" w:rsidP="00F33A51">
      <w:pPr>
        <w:spacing w:after="0" w:line="240" w:lineRule="auto"/>
        <w:rPr>
          <w:rFonts w:cs="Arial"/>
          <w:sz w:val="4"/>
          <w:szCs w:val="4"/>
          <w:lang w:val="pl-PL"/>
        </w:rPr>
      </w:pPr>
    </w:p>
    <w:sectPr w:rsidR="00822294" w:rsidRPr="00F33A51" w:rsidSect="002D6C95">
      <w:headerReference w:type="default" r:id="rId8"/>
      <w:footerReference w:type="default" r:id="rId9"/>
      <w:headerReference w:type="first" r:id="rId10"/>
      <w:pgSz w:w="16838" w:h="11906" w:orient="landscape"/>
      <w:pgMar w:top="624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0FC6" w14:textId="77777777" w:rsidR="007E7B7B" w:rsidRDefault="007E7B7B" w:rsidP="00B714EE">
      <w:pPr>
        <w:spacing w:after="0" w:line="240" w:lineRule="auto"/>
      </w:pPr>
      <w:r>
        <w:separator/>
      </w:r>
    </w:p>
  </w:endnote>
  <w:endnote w:type="continuationSeparator" w:id="0">
    <w:p w14:paraId="2EC4BBEA" w14:textId="77777777" w:rsidR="007E7B7B" w:rsidRDefault="007E7B7B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130102D8" w:rsidR="0074568B" w:rsidRPr="00B714EE" w:rsidRDefault="002D6C95" w:rsidP="002D6C95">
    <w:pPr>
      <w:pStyle w:val="Stopka"/>
      <w:spacing w:before="120"/>
      <w:ind w:left="567" w:hanging="567"/>
      <w:rPr>
        <w:sz w:val="18"/>
        <w:lang w:val="fr-BE"/>
      </w:rPr>
    </w:pPr>
    <w:r w:rsidRPr="002D6C95">
      <w:rPr>
        <w:b/>
        <w:color w:val="0070C0"/>
        <w:sz w:val="16"/>
        <w:lang w:val="fr-BE"/>
      </w:rPr>
      <w:t>Uwaga</w:t>
    </w:r>
    <w:r w:rsidRPr="002D6C95">
      <w:rPr>
        <w:color w:val="0070C0"/>
        <w:sz w:val="16"/>
        <w:lang w:val="fr-BE"/>
      </w:rPr>
      <w:t>:</w:t>
    </w:r>
    <w:r w:rsidRPr="002D6C95">
      <w:rPr>
        <w:color w:val="0070C0"/>
        <w:sz w:val="16"/>
        <w:lang w:val="fr-BE"/>
      </w:rPr>
      <w:tab/>
      <w:t>Zmiany przepisów związane z przekształceniem podświetlone są na niebiesko.</w:t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 w:rsidR="0074568B">
      <w:rPr>
        <w:sz w:val="16"/>
        <w:lang w:val="fr-BE"/>
      </w:rPr>
      <w:t>Strona</w:t>
    </w:r>
    <w:r w:rsidR="0074568B" w:rsidRPr="008F2FFA">
      <w:rPr>
        <w:sz w:val="16"/>
        <w:lang w:val="fr-BE"/>
      </w:rPr>
      <w:t xml:space="preserve"> </w:t>
    </w:r>
    <w:r w:rsidR="0074568B" w:rsidRPr="008F2FFA">
      <w:rPr>
        <w:sz w:val="16"/>
        <w:lang w:val="fr-BE"/>
      </w:rPr>
      <w:fldChar w:fldCharType="begin"/>
    </w:r>
    <w:r w:rsidR="0074568B" w:rsidRPr="008F2FFA">
      <w:rPr>
        <w:sz w:val="16"/>
        <w:lang w:val="fr-BE"/>
      </w:rPr>
      <w:instrText xml:space="preserve"> PAGE   \* MERGEFORMAT </w:instrText>
    </w:r>
    <w:r w:rsidR="0074568B" w:rsidRPr="008F2FFA">
      <w:rPr>
        <w:sz w:val="16"/>
        <w:lang w:val="fr-BE"/>
      </w:rPr>
      <w:fldChar w:fldCharType="separate"/>
    </w:r>
    <w:r w:rsidR="0077481E">
      <w:rPr>
        <w:noProof/>
        <w:sz w:val="16"/>
        <w:lang w:val="fr-BE"/>
      </w:rPr>
      <w:t>1</w:t>
    </w:r>
    <w:r w:rsidR="0074568B" w:rsidRPr="008F2FFA">
      <w:rPr>
        <w:sz w:val="16"/>
        <w:lang w:val="fr-BE"/>
      </w:rPr>
      <w:fldChar w:fldCharType="end"/>
    </w:r>
    <w:r w:rsidR="0074568B" w:rsidRPr="008F2FFA">
      <w:rPr>
        <w:sz w:val="16"/>
        <w:lang w:val="fr-BE"/>
      </w:rPr>
      <w:t xml:space="preserve"> </w:t>
    </w:r>
    <w:r w:rsidR="0074568B">
      <w:rPr>
        <w:sz w:val="16"/>
        <w:lang w:val="fr-BE"/>
      </w:rPr>
      <w:t>z</w:t>
    </w:r>
    <w:r w:rsidR="0074568B" w:rsidRPr="008F2FFA">
      <w:rPr>
        <w:sz w:val="16"/>
        <w:lang w:val="fr-BE"/>
      </w:rPr>
      <w:t xml:space="preserve"> </w:t>
    </w:r>
    <w:r w:rsidR="0074568B" w:rsidRPr="00B714EE">
      <w:rPr>
        <w:rFonts w:cstheme="minorHAnsi"/>
        <w:sz w:val="16"/>
        <w:szCs w:val="20"/>
      </w:rPr>
      <w:fldChar w:fldCharType="begin"/>
    </w:r>
    <w:r w:rsidR="0074568B" w:rsidRPr="00B714EE">
      <w:rPr>
        <w:rFonts w:cstheme="minorHAnsi"/>
        <w:sz w:val="16"/>
        <w:szCs w:val="20"/>
      </w:rPr>
      <w:instrText xml:space="preserve"> NUMPAGES   \* MERGEFORMAT </w:instrText>
    </w:r>
    <w:r w:rsidR="0074568B" w:rsidRPr="00B714EE">
      <w:rPr>
        <w:rFonts w:cstheme="minorHAnsi"/>
        <w:sz w:val="16"/>
        <w:szCs w:val="20"/>
      </w:rPr>
      <w:fldChar w:fldCharType="separate"/>
    </w:r>
    <w:r w:rsidR="0077481E">
      <w:rPr>
        <w:rFonts w:cstheme="minorHAnsi"/>
        <w:noProof/>
        <w:sz w:val="16"/>
        <w:szCs w:val="20"/>
      </w:rPr>
      <w:t>2</w:t>
    </w:r>
    <w:r w:rsidR="0074568B" w:rsidRPr="00B714EE">
      <w:rPr>
        <w:rFonts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07EE" w14:textId="77777777" w:rsidR="007E7B7B" w:rsidRDefault="007E7B7B" w:rsidP="00B714EE">
      <w:pPr>
        <w:spacing w:after="0" w:line="240" w:lineRule="auto"/>
      </w:pPr>
      <w:r>
        <w:separator/>
      </w:r>
    </w:p>
  </w:footnote>
  <w:footnote w:type="continuationSeparator" w:id="0">
    <w:p w14:paraId="2118660A" w14:textId="77777777" w:rsidR="007E7B7B" w:rsidRDefault="007E7B7B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91CB" w14:textId="11448A84" w:rsidR="002D6C95" w:rsidRPr="002D6C95" w:rsidRDefault="002D6C95" w:rsidP="002D6C95">
    <w:pPr>
      <w:pStyle w:val="Nagwek"/>
      <w:spacing w:after="120"/>
      <w:rPr>
        <w:b/>
        <w:color w:val="0070C0"/>
      </w:rPr>
    </w:pPr>
    <w:r w:rsidRPr="002D6C95">
      <w:rPr>
        <w:b/>
        <w:color w:val="0070C0"/>
      </w:rPr>
      <w:t>Part-CAO vs Part-MG Tabela zgodności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BE2B89DA2EC430588798D2DC22A9B83"/>
      </w:placeholder>
      <w:temporary/>
      <w:showingPlcHdr/>
      <w15:appearance w15:val="hidden"/>
    </w:sdtPr>
    <w:sdtEndPr/>
    <w:sdtContent>
      <w:p w14:paraId="6727276A" w14:textId="77777777" w:rsidR="002D6C95" w:rsidRDefault="002D6C95">
        <w:pPr>
          <w:pStyle w:val="Nagwek"/>
        </w:pPr>
        <w:r>
          <w:rPr>
            <w:lang w:val="pl-PL"/>
          </w:rPr>
          <w:t>[Wpisz tutaj]</w:t>
        </w:r>
      </w:p>
    </w:sdtContent>
  </w:sdt>
  <w:p w14:paraId="10EAC6D6" w14:textId="77777777" w:rsidR="002D6C95" w:rsidRDefault="002D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06B72"/>
    <w:rsid w:val="00016680"/>
    <w:rsid w:val="0002417E"/>
    <w:rsid w:val="00025677"/>
    <w:rsid w:val="00026E23"/>
    <w:rsid w:val="000304B9"/>
    <w:rsid w:val="00032DAE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70FF0"/>
    <w:rsid w:val="001721E2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6C95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2620"/>
    <w:rsid w:val="0031499F"/>
    <w:rsid w:val="00327077"/>
    <w:rsid w:val="003308BC"/>
    <w:rsid w:val="00335501"/>
    <w:rsid w:val="0034012A"/>
    <w:rsid w:val="0034260A"/>
    <w:rsid w:val="0034673B"/>
    <w:rsid w:val="00350EAF"/>
    <w:rsid w:val="00355ABC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719"/>
    <w:rsid w:val="00392DE2"/>
    <w:rsid w:val="003A7EEB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605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2771"/>
    <w:rsid w:val="00742872"/>
    <w:rsid w:val="007451B3"/>
    <w:rsid w:val="0074568B"/>
    <w:rsid w:val="00751E51"/>
    <w:rsid w:val="00751F00"/>
    <w:rsid w:val="00752741"/>
    <w:rsid w:val="00762E03"/>
    <w:rsid w:val="007631ED"/>
    <w:rsid w:val="0076385A"/>
    <w:rsid w:val="00763B7C"/>
    <w:rsid w:val="00765590"/>
    <w:rsid w:val="0077481E"/>
    <w:rsid w:val="00774AE2"/>
    <w:rsid w:val="007764D4"/>
    <w:rsid w:val="0077754F"/>
    <w:rsid w:val="00777EB6"/>
    <w:rsid w:val="0078157D"/>
    <w:rsid w:val="0078542E"/>
    <w:rsid w:val="0079242A"/>
    <w:rsid w:val="00796C0A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E7B7B"/>
    <w:rsid w:val="007F1451"/>
    <w:rsid w:val="007F2839"/>
    <w:rsid w:val="007F54E8"/>
    <w:rsid w:val="007F598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56F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50D9"/>
    <w:rsid w:val="009D76C2"/>
    <w:rsid w:val="009F226F"/>
    <w:rsid w:val="009F26AD"/>
    <w:rsid w:val="009F4A09"/>
    <w:rsid w:val="009F4CCF"/>
    <w:rsid w:val="009F6C56"/>
    <w:rsid w:val="009F78A9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3A8B"/>
    <w:rsid w:val="00AA0461"/>
    <w:rsid w:val="00AA39A2"/>
    <w:rsid w:val="00AA75D1"/>
    <w:rsid w:val="00AB45F2"/>
    <w:rsid w:val="00AB6AA1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3A51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C03C3"/>
    <w:rsid w:val="00FC48F1"/>
    <w:rsid w:val="00FC6FD2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2B89DA2EC430588798D2DC22A9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6040-9431-4A37-8060-39854EDBED49}"/>
      </w:docPartPr>
      <w:docPartBody>
        <w:p w:rsidR="00EF1017" w:rsidRDefault="00032409" w:rsidP="00032409">
          <w:pPr>
            <w:pStyle w:val="6BE2B89DA2EC430588798D2DC22A9B8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09"/>
    <w:rsid w:val="00032409"/>
    <w:rsid w:val="0069110E"/>
    <w:rsid w:val="00C06ED9"/>
    <w:rsid w:val="00E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BE2B89DA2EC430588798D2DC22A9B83">
    <w:name w:val="6BE2B89DA2EC430588798D2DC22A9B83"/>
    <w:rsid w:val="00032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ABC8-3C11-4D66-980D-54D606C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6</cp:revision>
  <cp:lastPrinted>2020-01-13T10:19:00Z</cp:lastPrinted>
  <dcterms:created xsi:type="dcterms:W3CDTF">2020-03-27T13:46:00Z</dcterms:created>
  <dcterms:modified xsi:type="dcterms:W3CDTF">2020-03-30T14:19:00Z</dcterms:modified>
</cp:coreProperties>
</file>