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E238" w14:textId="4203B90E" w:rsidR="00AB45F2" w:rsidRPr="001A3AD9" w:rsidRDefault="00B27630" w:rsidP="008F2FFA">
      <w:pPr>
        <w:rPr>
          <w:sz w:val="20"/>
          <w:szCs w:val="20"/>
          <w:lang w:val="pl-PL"/>
        </w:rPr>
      </w:pPr>
      <w:r w:rsidRPr="001A3AD9">
        <w:rPr>
          <w:sz w:val="20"/>
          <w:szCs w:val="20"/>
          <w:lang w:val="pl-PL"/>
        </w:rPr>
        <w:t>Tekst tego dodatku ułożono w taki sposób, aby pokazać tekst usunięty, nowy lub poprawiony jak przedstawiono poniżej, w celu dokonania zmiany istniejącej charakterystyki Part- MG dla wykazania zgodności z</w:t>
      </w:r>
      <w:r w:rsidR="00EE0AF7" w:rsidRPr="001A3AD9">
        <w:rPr>
          <w:sz w:val="20"/>
          <w:szCs w:val="20"/>
          <w:lang w:val="pl-PL"/>
        </w:rPr>
        <w:t xml:space="preserve"> Part-CAMO.</w:t>
      </w:r>
    </w:p>
    <w:p w14:paraId="60070074" w14:textId="3AD1D378" w:rsidR="00EE0AF7" w:rsidRPr="00827084" w:rsidRDefault="00B27630" w:rsidP="008F2FFA">
      <w:pPr>
        <w:pStyle w:val="Akapitzlist"/>
        <w:numPr>
          <w:ilvl w:val="0"/>
          <w:numId w:val="47"/>
        </w:numPr>
        <w:rPr>
          <w:lang w:val="pl-PL"/>
        </w:rPr>
      </w:pPr>
      <w:r w:rsidRPr="00827084">
        <w:rPr>
          <w:lang w:val="pl-PL"/>
        </w:rPr>
        <w:t>tekst skreślony</w:t>
      </w:r>
      <w:r w:rsidR="00EE0AF7" w:rsidRPr="00827084">
        <w:rPr>
          <w:lang w:val="pl-PL"/>
        </w:rPr>
        <w:t xml:space="preserve"> </w:t>
      </w:r>
      <w:r w:rsidRPr="00827084">
        <w:rPr>
          <w:strike/>
          <w:lang w:val="pl-PL"/>
        </w:rPr>
        <w:t>przekreślony</w:t>
      </w:r>
      <w:r w:rsidR="00EE0AF7" w:rsidRPr="00827084">
        <w:rPr>
          <w:lang w:val="pl-PL"/>
        </w:rPr>
        <w:t xml:space="preserve">; </w:t>
      </w:r>
    </w:p>
    <w:p w14:paraId="16BEBF2D" w14:textId="2B847525" w:rsidR="00EE0AF7" w:rsidRPr="00827084" w:rsidRDefault="00B27630" w:rsidP="008F2FFA">
      <w:pPr>
        <w:pStyle w:val="Akapitzlist"/>
        <w:numPr>
          <w:ilvl w:val="0"/>
          <w:numId w:val="47"/>
        </w:numPr>
        <w:rPr>
          <w:lang w:val="pl-PL"/>
        </w:rPr>
      </w:pPr>
      <w:r w:rsidRPr="00827084">
        <w:rPr>
          <w:lang w:val="pl-PL"/>
        </w:rPr>
        <w:t>nowy lub zmieniony tekst jest podświetlony na</w:t>
      </w:r>
      <w:r w:rsidR="00EE0AF7" w:rsidRPr="00827084">
        <w:rPr>
          <w:lang w:val="pl-PL"/>
        </w:rPr>
        <w:t xml:space="preserve"> </w:t>
      </w:r>
      <w:r w:rsidRPr="00827084">
        <w:rPr>
          <w:highlight w:val="cyan"/>
          <w:lang w:val="pl-PL"/>
        </w:rPr>
        <w:t>niebiesko</w:t>
      </w:r>
      <w:r w:rsidR="00EE0AF7" w:rsidRPr="00827084">
        <w:rPr>
          <w:lang w:val="pl-PL"/>
        </w:rPr>
        <w:t>.</w:t>
      </w:r>
    </w:p>
    <w:tbl>
      <w:tblPr>
        <w:tblStyle w:val="easaTable"/>
        <w:tblW w:w="1389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442"/>
        <w:gridCol w:w="12474"/>
      </w:tblGrid>
      <w:tr w:rsidR="000B52F9" w:rsidRPr="00F85C3E" w14:paraId="5F432D97" w14:textId="77777777" w:rsidTr="001A3AD9">
        <w:trPr>
          <w:cantSplit/>
          <w:trHeight w:hRule="exact" w:val="288"/>
        </w:trPr>
        <w:tc>
          <w:tcPr>
            <w:tcW w:w="976" w:type="dxa"/>
            <w:hideMark/>
          </w:tcPr>
          <w:p w14:paraId="137999AB" w14:textId="457DEDB5" w:rsidR="000B52F9" w:rsidRPr="00827084" w:rsidRDefault="001A3AD9" w:rsidP="008C6D38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t>Część</w:t>
            </w:r>
            <w:r w:rsidR="000B52F9" w:rsidRPr="00827084">
              <w:rPr>
                <w:rStyle w:val="Bold"/>
                <w:lang w:val="pl-PL"/>
              </w:rPr>
              <w:t xml:space="preserve"> 0</w:t>
            </w:r>
          </w:p>
        </w:tc>
        <w:tc>
          <w:tcPr>
            <w:tcW w:w="12916" w:type="dxa"/>
            <w:gridSpan w:val="2"/>
            <w:hideMark/>
          </w:tcPr>
          <w:p w14:paraId="3B08E4ED" w14:textId="4A2668EE" w:rsidR="000B52F9" w:rsidRPr="00827084" w:rsidRDefault="0078157D" w:rsidP="0078157D">
            <w:pPr>
              <w:pStyle w:val="TableNormal"/>
              <w:rPr>
                <w:rStyle w:val="Bold"/>
                <w:lang w:val="pl-PL"/>
              </w:rPr>
            </w:pPr>
            <w:r w:rsidRPr="00827084">
              <w:rPr>
                <w:rStyle w:val="Bold"/>
                <w:lang w:val="pl-PL"/>
              </w:rPr>
              <w:t>Organizacja ogólnie</w:t>
            </w:r>
            <w:r w:rsidR="000B52F9" w:rsidRPr="00827084">
              <w:rPr>
                <w:rStyle w:val="Bold"/>
                <w:highlight w:val="cyan"/>
                <w:lang w:val="pl-PL"/>
              </w:rPr>
              <w:t xml:space="preserve">, </w:t>
            </w:r>
            <w:r w:rsidRPr="00827084">
              <w:rPr>
                <w:rStyle w:val="Bold"/>
                <w:highlight w:val="cyan"/>
                <w:lang w:val="pl-PL"/>
              </w:rPr>
              <w:t>polityka bezpieczeństwa i założenia</w:t>
            </w:r>
          </w:p>
        </w:tc>
      </w:tr>
      <w:tr w:rsidR="000B52F9" w:rsidRPr="00F85C3E" w14:paraId="24D6D83C" w14:textId="77777777" w:rsidTr="001A3AD9">
        <w:trPr>
          <w:cantSplit/>
          <w:trHeight w:val="188"/>
        </w:trPr>
        <w:tc>
          <w:tcPr>
            <w:tcW w:w="976" w:type="dxa"/>
            <w:shd w:val="clear" w:color="auto" w:fill="auto"/>
            <w:hideMark/>
          </w:tcPr>
          <w:p w14:paraId="2F38DD5D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0.1</w:t>
            </w:r>
          </w:p>
        </w:tc>
        <w:tc>
          <w:tcPr>
            <w:tcW w:w="442" w:type="dxa"/>
            <w:shd w:val="clear" w:color="auto" w:fill="auto"/>
          </w:tcPr>
          <w:p w14:paraId="3390F4A7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B068987" w14:textId="239DD0E8" w:rsidR="000B52F9" w:rsidRPr="00827084" w:rsidRDefault="0078157D" w:rsidP="0078157D">
            <w:pPr>
              <w:pStyle w:val="TableNormal"/>
              <w:rPr>
                <w:lang w:val="pl-PL"/>
              </w:rPr>
            </w:pPr>
            <w:r w:rsidRPr="00827084">
              <w:rPr>
                <w:rStyle w:val="Bold"/>
                <w:b w:val="0"/>
                <w:highlight w:val="cyan"/>
                <w:lang w:val="pl-PL"/>
              </w:rPr>
              <w:t>Polityka bezpieczeństwa, założenia</w:t>
            </w:r>
            <w:r w:rsidRPr="00827084">
              <w:rPr>
                <w:rStyle w:val="Bold"/>
                <w:b w:val="0"/>
                <w:lang w:val="pl-PL"/>
              </w:rPr>
              <w:t xml:space="preserve"> i</w:t>
            </w:r>
            <w:r w:rsidRPr="00827084">
              <w:rPr>
                <w:strike/>
                <w:lang w:val="pl-PL"/>
              </w:rPr>
              <w:t xml:space="preserve"> Zobowiązanie korporacyjne  </w:t>
            </w:r>
            <w:r w:rsidRPr="00827084">
              <w:rPr>
                <w:highlight w:val="cyan"/>
                <w:lang w:val="pl-PL"/>
              </w:rPr>
              <w:t>oświadczenie</w:t>
            </w:r>
            <w:r w:rsidRPr="00827084">
              <w:rPr>
                <w:lang w:val="pl-PL"/>
              </w:rPr>
              <w:t xml:space="preserve"> kierownika odpowiedzialnego</w:t>
            </w:r>
          </w:p>
        </w:tc>
      </w:tr>
      <w:tr w:rsidR="000B52F9" w:rsidRPr="00F85C3E" w14:paraId="70D39C16" w14:textId="77777777" w:rsidTr="001A3AD9">
        <w:trPr>
          <w:cantSplit/>
          <w:trHeight w:hRule="exact" w:val="282"/>
        </w:trPr>
        <w:tc>
          <w:tcPr>
            <w:tcW w:w="976" w:type="dxa"/>
            <w:shd w:val="clear" w:color="auto" w:fill="auto"/>
            <w:hideMark/>
          </w:tcPr>
          <w:p w14:paraId="6132479E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0.2</w:t>
            </w:r>
          </w:p>
        </w:tc>
        <w:tc>
          <w:tcPr>
            <w:tcW w:w="442" w:type="dxa"/>
            <w:shd w:val="clear" w:color="auto" w:fill="auto"/>
          </w:tcPr>
          <w:p w14:paraId="60F25FB9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4D4F288E" w14:textId="06765D44" w:rsidR="000B52F9" w:rsidRPr="00827084" w:rsidRDefault="0078157D" w:rsidP="0078157D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Informacje ogólne</w:t>
            </w:r>
            <w:r w:rsidR="000B52F9" w:rsidRPr="00827084">
              <w:rPr>
                <w:highlight w:val="cyan"/>
                <w:lang w:val="pl-PL"/>
              </w:rPr>
              <w:t xml:space="preserve"> </w:t>
            </w:r>
            <w:r w:rsidRPr="00827084">
              <w:rPr>
                <w:highlight w:val="cyan"/>
                <w:lang w:val="pl-PL"/>
              </w:rPr>
              <w:t>i zakres prac</w:t>
            </w:r>
          </w:p>
        </w:tc>
      </w:tr>
      <w:tr w:rsidR="000B52F9" w:rsidRPr="00827084" w14:paraId="6696C781" w14:textId="77777777" w:rsidTr="001A3AD9">
        <w:trPr>
          <w:cantSplit/>
          <w:trHeight w:val="182"/>
        </w:trPr>
        <w:tc>
          <w:tcPr>
            <w:tcW w:w="976" w:type="dxa"/>
            <w:shd w:val="clear" w:color="auto" w:fill="auto"/>
            <w:hideMark/>
          </w:tcPr>
          <w:p w14:paraId="0117E34B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0.3</w:t>
            </w:r>
          </w:p>
        </w:tc>
        <w:tc>
          <w:tcPr>
            <w:tcW w:w="442" w:type="dxa"/>
            <w:shd w:val="clear" w:color="auto" w:fill="auto"/>
          </w:tcPr>
          <w:p w14:paraId="0C776BEC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C73EEA3" w14:textId="3F043D3E" w:rsidR="000B52F9" w:rsidRPr="00827084" w:rsidRDefault="0078157D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Personel zarządzający </w:t>
            </w:r>
          </w:p>
        </w:tc>
      </w:tr>
      <w:tr w:rsidR="000B52F9" w:rsidRPr="00827084" w14:paraId="5E80CD34" w14:textId="77777777" w:rsidTr="001A3AD9">
        <w:trPr>
          <w:cantSplit/>
          <w:trHeight w:val="88"/>
        </w:trPr>
        <w:tc>
          <w:tcPr>
            <w:tcW w:w="976" w:type="dxa"/>
            <w:shd w:val="clear" w:color="auto" w:fill="auto"/>
            <w:hideMark/>
          </w:tcPr>
          <w:p w14:paraId="417091C1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0.4</w:t>
            </w:r>
          </w:p>
        </w:tc>
        <w:tc>
          <w:tcPr>
            <w:tcW w:w="442" w:type="dxa"/>
            <w:shd w:val="clear" w:color="auto" w:fill="auto"/>
          </w:tcPr>
          <w:p w14:paraId="1694768D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894C61B" w14:textId="2DBC545E" w:rsidR="000B52F9" w:rsidRPr="00827084" w:rsidRDefault="0078157D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Schemat organizacyjny zarządu</w:t>
            </w:r>
          </w:p>
        </w:tc>
      </w:tr>
      <w:tr w:rsidR="000B52F9" w:rsidRPr="00F85C3E" w14:paraId="3A60897D" w14:textId="77777777" w:rsidTr="001A3AD9">
        <w:trPr>
          <w:cantSplit/>
          <w:trHeight w:val="459"/>
        </w:trPr>
        <w:tc>
          <w:tcPr>
            <w:tcW w:w="976" w:type="dxa"/>
            <w:shd w:val="clear" w:color="auto" w:fill="auto"/>
            <w:hideMark/>
          </w:tcPr>
          <w:p w14:paraId="0E4D241A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0.5</w:t>
            </w:r>
          </w:p>
        </w:tc>
        <w:tc>
          <w:tcPr>
            <w:tcW w:w="442" w:type="dxa"/>
            <w:shd w:val="clear" w:color="auto" w:fill="auto"/>
          </w:tcPr>
          <w:p w14:paraId="406EB59D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23A1C67" w14:textId="307C454E" w:rsidR="000B52F9" w:rsidRPr="00827084" w:rsidRDefault="000B52F9" w:rsidP="0078157D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Procedu</w:t>
            </w:r>
            <w:r w:rsidR="0078157D" w:rsidRPr="00827084">
              <w:rPr>
                <w:lang w:val="pl-PL"/>
              </w:rPr>
              <w:t xml:space="preserve">ra </w:t>
            </w:r>
            <w:r w:rsidR="00506CE3">
              <w:rPr>
                <w:lang w:val="pl-PL"/>
              </w:rPr>
              <w:t xml:space="preserve">dla </w:t>
            </w:r>
            <w:r w:rsidR="0078157D" w:rsidRPr="00827084">
              <w:rPr>
                <w:highlight w:val="cyan"/>
                <w:lang w:val="pl-PL"/>
              </w:rPr>
              <w:t>zmiany wymagająca wcześniejszej zgody</w:t>
            </w:r>
            <w:r w:rsidRPr="00827084">
              <w:rPr>
                <w:lang w:val="pl-PL"/>
              </w:rPr>
              <w:t xml:space="preserve"> </w:t>
            </w:r>
            <w:r w:rsidR="0078157D" w:rsidRPr="00827084">
              <w:rPr>
                <w:strike/>
                <w:lang w:val="pl-PL"/>
              </w:rPr>
              <w:t>w celu powiadomienia właściwego organu o zmianach w działaniach / zatwierdzeniu / lokalizacji / personelu organizacji</w:t>
            </w:r>
          </w:p>
        </w:tc>
      </w:tr>
      <w:tr w:rsidR="000B52F9" w:rsidRPr="00F85C3E" w14:paraId="12710D7E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hideMark/>
          </w:tcPr>
          <w:p w14:paraId="248753C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0.6</w:t>
            </w:r>
          </w:p>
        </w:tc>
        <w:tc>
          <w:tcPr>
            <w:tcW w:w="442" w:type="dxa"/>
            <w:shd w:val="clear" w:color="auto" w:fill="auto"/>
          </w:tcPr>
          <w:p w14:paraId="76A6E60A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BD41686" w14:textId="15007394" w:rsidR="000B52F9" w:rsidRPr="00827084" w:rsidRDefault="0078157D" w:rsidP="00506CE3">
            <w:pPr>
              <w:pStyle w:val="TableNormal"/>
              <w:rPr>
                <w:lang w:val="pl-PL"/>
              </w:rPr>
            </w:pPr>
            <w:r w:rsidRPr="00827084">
              <w:rPr>
                <w:highlight w:val="cyan"/>
                <w:lang w:val="pl-PL"/>
              </w:rPr>
              <w:t xml:space="preserve">Procedura </w:t>
            </w:r>
            <w:r w:rsidR="00506CE3">
              <w:rPr>
                <w:highlight w:val="cyan"/>
                <w:lang w:val="pl-PL"/>
              </w:rPr>
              <w:t xml:space="preserve">dla </w:t>
            </w:r>
            <w:r w:rsidRPr="00827084">
              <w:rPr>
                <w:highlight w:val="cyan"/>
                <w:lang w:val="pl-PL"/>
              </w:rPr>
              <w:t>zmian</w:t>
            </w:r>
            <w:r w:rsidR="00506CE3">
              <w:rPr>
                <w:highlight w:val="cyan"/>
                <w:lang w:val="pl-PL"/>
              </w:rPr>
              <w:t>y</w:t>
            </w:r>
            <w:r w:rsidRPr="00827084">
              <w:rPr>
                <w:highlight w:val="cyan"/>
                <w:lang w:val="pl-PL"/>
              </w:rPr>
              <w:t xml:space="preserve"> niewymagając</w:t>
            </w:r>
            <w:r w:rsidR="00506CE3">
              <w:rPr>
                <w:highlight w:val="cyan"/>
                <w:lang w:val="pl-PL"/>
              </w:rPr>
              <w:t>a</w:t>
            </w:r>
            <w:r w:rsidRPr="00827084">
              <w:rPr>
                <w:highlight w:val="cyan"/>
                <w:lang w:val="pl-PL"/>
              </w:rPr>
              <w:t xml:space="preserve"> uprzedniej zgody </w:t>
            </w:r>
            <w:r w:rsidRPr="00827084">
              <w:rPr>
                <w:strike/>
                <w:lang w:val="pl-PL"/>
              </w:rPr>
              <w:t>Procedury zmiany charakterystyki</w:t>
            </w:r>
          </w:p>
        </w:tc>
      </w:tr>
      <w:tr w:rsidR="000B52F9" w:rsidRPr="00F85C3E" w14:paraId="508D64D7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</w:tcPr>
          <w:p w14:paraId="161F432A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0.7</w:t>
            </w:r>
          </w:p>
        </w:tc>
        <w:tc>
          <w:tcPr>
            <w:tcW w:w="442" w:type="dxa"/>
            <w:shd w:val="clear" w:color="auto" w:fill="auto"/>
          </w:tcPr>
          <w:p w14:paraId="48605210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</w:tcPr>
          <w:p w14:paraId="3239054F" w14:textId="5C075E3C" w:rsidR="000B52F9" w:rsidRPr="00827084" w:rsidRDefault="0078157D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 xml:space="preserve">Procedura dla alternatywnych sposobów spełnienia </w:t>
            </w:r>
            <w:r w:rsidR="000B52F9" w:rsidRPr="00827084">
              <w:rPr>
                <w:highlight w:val="cyan"/>
                <w:lang w:val="pl-PL"/>
              </w:rPr>
              <w:t>(</w:t>
            </w:r>
            <w:proofErr w:type="spellStart"/>
            <w:r w:rsidR="000B52F9" w:rsidRPr="00827084">
              <w:rPr>
                <w:highlight w:val="cyan"/>
                <w:lang w:val="pl-PL"/>
              </w:rPr>
              <w:t>AltMoC</w:t>
            </w:r>
            <w:proofErr w:type="spellEnd"/>
            <w:r w:rsidR="000B52F9" w:rsidRPr="00827084">
              <w:rPr>
                <w:highlight w:val="cyan"/>
                <w:lang w:val="pl-PL"/>
              </w:rPr>
              <w:t>)</w:t>
            </w:r>
          </w:p>
        </w:tc>
      </w:tr>
      <w:tr w:rsidR="000B52F9" w:rsidRPr="00F85C3E" w14:paraId="43B695A3" w14:textId="77777777" w:rsidTr="001A3AD9">
        <w:trPr>
          <w:cantSplit/>
          <w:trHeight w:hRule="exact" w:val="330"/>
        </w:trPr>
        <w:tc>
          <w:tcPr>
            <w:tcW w:w="976" w:type="dxa"/>
            <w:hideMark/>
          </w:tcPr>
          <w:p w14:paraId="5B626E56" w14:textId="6BA23737" w:rsidR="000B52F9" w:rsidRPr="00827084" w:rsidRDefault="001A3AD9" w:rsidP="008C6D38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t>Część</w:t>
            </w:r>
            <w:r w:rsidRPr="00827084">
              <w:rPr>
                <w:rStyle w:val="Bold"/>
                <w:lang w:val="pl-PL"/>
              </w:rPr>
              <w:t xml:space="preserve"> </w:t>
            </w:r>
            <w:r w:rsidR="000B52F9" w:rsidRPr="00827084">
              <w:rPr>
                <w:rStyle w:val="Bold"/>
                <w:lang w:val="pl-PL"/>
              </w:rPr>
              <w:t>1</w:t>
            </w:r>
          </w:p>
        </w:tc>
        <w:tc>
          <w:tcPr>
            <w:tcW w:w="12916" w:type="dxa"/>
            <w:gridSpan w:val="2"/>
            <w:hideMark/>
          </w:tcPr>
          <w:p w14:paraId="6A2FB819" w14:textId="6CA1A5F4" w:rsidR="000B52F9" w:rsidRPr="00827084" w:rsidRDefault="0078157D" w:rsidP="0078157D">
            <w:pPr>
              <w:pStyle w:val="TableNormal"/>
              <w:rPr>
                <w:rStyle w:val="Bold"/>
                <w:lang w:val="pl-PL"/>
              </w:rPr>
            </w:pPr>
            <w:r w:rsidRPr="00827084">
              <w:rPr>
                <w:rStyle w:val="Bold"/>
                <w:lang w:val="pl-PL"/>
              </w:rPr>
              <w:t>Procedury zarządzania ciągłą zdatnością do lotu</w:t>
            </w:r>
          </w:p>
        </w:tc>
      </w:tr>
      <w:tr w:rsidR="000B52F9" w:rsidRPr="00F85C3E" w14:paraId="4853DFA5" w14:textId="77777777" w:rsidTr="001A3AD9">
        <w:trPr>
          <w:cantSplit/>
          <w:trHeight w:val="400"/>
        </w:trPr>
        <w:tc>
          <w:tcPr>
            <w:tcW w:w="976" w:type="dxa"/>
            <w:shd w:val="clear" w:color="auto" w:fill="auto"/>
            <w:hideMark/>
          </w:tcPr>
          <w:p w14:paraId="4E976009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1.1</w:t>
            </w:r>
            <w:r w:rsidRPr="00827084">
              <w:rPr>
                <w:highlight w:val="cyan"/>
                <w:lang w:val="pl-PL"/>
              </w:rPr>
              <w:t>a</w:t>
            </w:r>
          </w:p>
        </w:tc>
        <w:tc>
          <w:tcPr>
            <w:tcW w:w="442" w:type="dxa"/>
            <w:shd w:val="clear" w:color="auto" w:fill="auto"/>
          </w:tcPr>
          <w:p w14:paraId="204C2099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D2F2FF5" w14:textId="77777777" w:rsidR="00F9031F" w:rsidRPr="00827084" w:rsidRDefault="0078157D" w:rsidP="00F9031F">
            <w:pPr>
              <w:pStyle w:val="TableNormal"/>
              <w:rPr>
                <w:strike/>
                <w:lang w:val="pl-PL"/>
              </w:rPr>
            </w:pPr>
            <w:r w:rsidRPr="00827084">
              <w:rPr>
                <w:highlight w:val="cyan"/>
                <w:lang w:val="pl-PL"/>
              </w:rPr>
              <w:t>Korzystanie z systemu dokumentacji ciągłej zdatności do lotu statku powietrznego oraz, w stosownych przypadkach,</w:t>
            </w:r>
            <w:r w:rsidR="000B52F9" w:rsidRPr="00827084">
              <w:rPr>
                <w:highlight w:val="cyan"/>
                <w:lang w:val="pl-PL"/>
              </w:rPr>
              <w:t xml:space="preserve"> </w:t>
            </w:r>
            <w:r w:rsidR="00F9031F" w:rsidRPr="00827084">
              <w:rPr>
                <w:strike/>
                <w:lang w:val="pl-PL"/>
              </w:rPr>
              <w:t>wykorzystanie</w:t>
            </w:r>
            <w:r w:rsidR="00F9031F" w:rsidRPr="00827084">
              <w:rPr>
                <w:highlight w:val="cyan"/>
                <w:lang w:val="pl-PL"/>
              </w:rPr>
              <w:t xml:space="preserve"> </w:t>
            </w:r>
            <w:r w:rsidRPr="00827084">
              <w:rPr>
                <w:highlight w:val="cyan"/>
                <w:lang w:val="pl-PL"/>
              </w:rPr>
              <w:t>systemu</w:t>
            </w:r>
            <w:r w:rsidRPr="00827084">
              <w:rPr>
                <w:lang w:val="pl-PL"/>
              </w:rPr>
              <w:t xml:space="preserve"> technicznego dziennika pokładowego </w:t>
            </w:r>
            <w:r w:rsidR="008C6D38" w:rsidRPr="00827084">
              <w:rPr>
                <w:highlight w:val="cyan"/>
                <w:lang w:val="pl-PL"/>
              </w:rPr>
              <w:t>(ATL)</w:t>
            </w:r>
            <w:r w:rsidR="008C6D38" w:rsidRPr="00827084">
              <w:rPr>
                <w:lang w:val="pl-PL"/>
              </w:rPr>
              <w:t xml:space="preserve"> </w:t>
            </w:r>
            <w:r w:rsidR="00F9031F" w:rsidRPr="00827084">
              <w:rPr>
                <w:strike/>
                <w:lang w:val="pl-PL"/>
              </w:rPr>
              <w:t xml:space="preserve">pokładowego i stosowanie MEL  </w:t>
            </w:r>
          </w:p>
          <w:p w14:paraId="3311AE2E" w14:textId="5187C306" w:rsidR="000B52F9" w:rsidRPr="00827084" w:rsidRDefault="00F9031F" w:rsidP="00F9031F">
            <w:pPr>
              <w:pStyle w:val="TableNormal"/>
              <w:rPr>
                <w:lang w:val="pl-PL"/>
              </w:rPr>
            </w:pPr>
            <w:r w:rsidRPr="00827084">
              <w:rPr>
                <w:strike/>
                <w:lang w:val="pl-PL"/>
              </w:rPr>
              <w:t xml:space="preserve">Korzystanie z system zapisów ciągłej zdatności do lotu statku powietrznego </w:t>
            </w:r>
          </w:p>
        </w:tc>
      </w:tr>
      <w:tr w:rsidR="008F2FFA" w:rsidRPr="00827084" w14:paraId="4B18F8DC" w14:textId="77777777" w:rsidTr="001A3AD9">
        <w:trPr>
          <w:cantSplit/>
          <w:trHeight w:val="235"/>
        </w:trPr>
        <w:tc>
          <w:tcPr>
            <w:tcW w:w="976" w:type="dxa"/>
            <w:shd w:val="clear" w:color="auto" w:fill="auto"/>
          </w:tcPr>
          <w:p w14:paraId="54B79AFA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1.1b</w:t>
            </w:r>
          </w:p>
        </w:tc>
        <w:tc>
          <w:tcPr>
            <w:tcW w:w="442" w:type="dxa"/>
            <w:shd w:val="clear" w:color="auto" w:fill="auto"/>
          </w:tcPr>
          <w:p w14:paraId="22C14117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</w:tcPr>
          <w:p w14:paraId="6AEAC1C8" w14:textId="2BDCAF57" w:rsidR="000B52F9" w:rsidRPr="00827084" w:rsidRDefault="00F9031F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 xml:space="preserve">Stosowanie MEL  </w:t>
            </w:r>
          </w:p>
        </w:tc>
      </w:tr>
      <w:tr w:rsidR="000B52F9" w:rsidRPr="00F85C3E" w14:paraId="4BF51781" w14:textId="77777777" w:rsidTr="001A3AD9">
        <w:trPr>
          <w:cantSplit/>
          <w:trHeight w:val="248"/>
        </w:trPr>
        <w:tc>
          <w:tcPr>
            <w:tcW w:w="976" w:type="dxa"/>
            <w:shd w:val="clear" w:color="auto" w:fill="auto"/>
            <w:hideMark/>
          </w:tcPr>
          <w:p w14:paraId="180FFCA5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1.2</w:t>
            </w:r>
          </w:p>
        </w:tc>
        <w:tc>
          <w:tcPr>
            <w:tcW w:w="442" w:type="dxa"/>
            <w:shd w:val="clear" w:color="auto" w:fill="auto"/>
          </w:tcPr>
          <w:p w14:paraId="385C0EEC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3EB54A6D" w14:textId="7F69844C" w:rsidR="000B52F9" w:rsidRPr="00827084" w:rsidRDefault="00F9031F" w:rsidP="00F9031F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Programy obsługi statku powietrznego</w:t>
            </w:r>
            <w:r w:rsidR="000B52F9" w:rsidRPr="00827084">
              <w:rPr>
                <w:lang w:val="pl-PL"/>
              </w:rPr>
              <w:t xml:space="preserve"> </w:t>
            </w:r>
            <w:r w:rsidR="000B52F9" w:rsidRPr="00827084">
              <w:rPr>
                <w:highlight w:val="cyan"/>
                <w:lang w:val="pl-PL"/>
              </w:rPr>
              <w:t>(AMP)</w:t>
            </w:r>
            <w:r w:rsidR="000B52F9" w:rsidRPr="00827084">
              <w:rPr>
                <w:lang w:val="pl-PL"/>
              </w:rPr>
              <w:t xml:space="preserve"> — </w:t>
            </w:r>
            <w:r w:rsidRPr="00827084">
              <w:rPr>
                <w:lang w:val="pl-PL"/>
              </w:rPr>
              <w:t>opracowanie, zmiany i zatwierdzenie</w:t>
            </w:r>
          </w:p>
        </w:tc>
      </w:tr>
      <w:tr w:rsidR="000B52F9" w:rsidRPr="00F85C3E" w14:paraId="3C4FC019" w14:textId="77777777" w:rsidTr="001A3AD9">
        <w:trPr>
          <w:cantSplit/>
          <w:trHeight w:val="164"/>
        </w:trPr>
        <w:tc>
          <w:tcPr>
            <w:tcW w:w="976" w:type="dxa"/>
            <w:shd w:val="clear" w:color="auto" w:fill="auto"/>
            <w:hideMark/>
          </w:tcPr>
          <w:p w14:paraId="14939CE3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1.3</w:t>
            </w:r>
          </w:p>
        </w:tc>
        <w:tc>
          <w:tcPr>
            <w:tcW w:w="442" w:type="dxa"/>
            <w:shd w:val="clear" w:color="auto" w:fill="auto"/>
          </w:tcPr>
          <w:p w14:paraId="7DF66EF4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20B7336" w14:textId="02E9B660" w:rsidR="000B52F9" w:rsidRPr="00827084" w:rsidRDefault="00F9031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Dokumentacja </w:t>
            </w:r>
            <w:r w:rsidRPr="00827084">
              <w:rPr>
                <w:strike/>
                <w:lang w:val="pl-PL"/>
              </w:rPr>
              <w:t>czasu i</w:t>
            </w:r>
            <w:r w:rsidRPr="00827084">
              <w:rPr>
                <w:lang w:val="pl-PL"/>
              </w:rPr>
              <w:t xml:space="preserve"> ciągłej zdatności do lotu, obowiązki, zachowanie i dostęp</w:t>
            </w:r>
          </w:p>
        </w:tc>
      </w:tr>
      <w:tr w:rsidR="000B52F9" w:rsidRPr="00F85C3E" w14:paraId="5923190E" w14:textId="77777777" w:rsidTr="001A3AD9">
        <w:trPr>
          <w:cantSplit/>
          <w:trHeight w:val="142"/>
        </w:trPr>
        <w:tc>
          <w:tcPr>
            <w:tcW w:w="976" w:type="dxa"/>
            <w:shd w:val="clear" w:color="auto" w:fill="auto"/>
            <w:hideMark/>
          </w:tcPr>
          <w:p w14:paraId="5A89650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1.4</w:t>
            </w:r>
          </w:p>
        </w:tc>
        <w:tc>
          <w:tcPr>
            <w:tcW w:w="442" w:type="dxa"/>
            <w:shd w:val="clear" w:color="auto" w:fill="auto"/>
          </w:tcPr>
          <w:p w14:paraId="63F6D274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0EF49C76" w14:textId="0A262FAD" w:rsidR="000B52F9" w:rsidRPr="00827084" w:rsidRDefault="00F9031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Realizacja i kontrola dyrektyw zdatności do lotu</w:t>
            </w:r>
          </w:p>
        </w:tc>
      </w:tr>
      <w:tr w:rsidR="000B52F9" w:rsidRPr="00827084" w14:paraId="6B90BA4E" w14:textId="77777777" w:rsidTr="001A3AD9">
        <w:trPr>
          <w:cantSplit/>
          <w:trHeight w:val="248"/>
        </w:trPr>
        <w:tc>
          <w:tcPr>
            <w:tcW w:w="976" w:type="dxa"/>
            <w:shd w:val="clear" w:color="auto" w:fill="auto"/>
            <w:hideMark/>
          </w:tcPr>
          <w:p w14:paraId="32852526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1.5</w:t>
            </w:r>
          </w:p>
        </w:tc>
        <w:tc>
          <w:tcPr>
            <w:tcW w:w="442" w:type="dxa"/>
            <w:shd w:val="clear" w:color="auto" w:fill="auto"/>
          </w:tcPr>
          <w:p w14:paraId="38EEEE55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413A1051" w14:textId="4A848387" w:rsidR="000B52F9" w:rsidRPr="00827084" w:rsidRDefault="00F9031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Analiza skuteczności programów obsługi</w:t>
            </w:r>
          </w:p>
        </w:tc>
      </w:tr>
      <w:tr w:rsidR="000B52F9" w:rsidRPr="00F85C3E" w14:paraId="3FF3D0C0" w14:textId="77777777" w:rsidTr="001A3AD9">
        <w:trPr>
          <w:cantSplit/>
          <w:trHeight w:val="110"/>
        </w:trPr>
        <w:tc>
          <w:tcPr>
            <w:tcW w:w="976" w:type="dxa"/>
            <w:shd w:val="clear" w:color="auto" w:fill="auto"/>
            <w:hideMark/>
          </w:tcPr>
          <w:p w14:paraId="2A483C19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1.6</w:t>
            </w:r>
          </w:p>
        </w:tc>
        <w:tc>
          <w:tcPr>
            <w:tcW w:w="442" w:type="dxa"/>
            <w:shd w:val="clear" w:color="auto" w:fill="auto"/>
          </w:tcPr>
          <w:p w14:paraId="30364501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D01FA80" w14:textId="0A6CEC5B" w:rsidR="000B52F9" w:rsidRPr="00827084" w:rsidRDefault="00F9031F" w:rsidP="00F9031F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Nieobowiązkowa </w:t>
            </w:r>
            <w:r w:rsidRPr="00827084">
              <w:rPr>
                <w:strike/>
                <w:lang w:val="pl-PL"/>
              </w:rPr>
              <w:t>zasady wykonania</w:t>
            </w:r>
            <w:r w:rsidRPr="00827084">
              <w:rPr>
                <w:lang w:val="pl-PL"/>
              </w:rPr>
              <w:t xml:space="preserve"> modyfikacja </w:t>
            </w:r>
            <w:r w:rsidRPr="00827084">
              <w:rPr>
                <w:highlight w:val="cyan"/>
                <w:lang w:val="pl-PL"/>
              </w:rPr>
              <w:t>i inspekcja</w:t>
            </w:r>
            <w:r w:rsidRPr="00827084">
              <w:rPr>
                <w:lang w:val="pl-PL"/>
              </w:rPr>
              <w:t xml:space="preserve"> </w:t>
            </w:r>
          </w:p>
        </w:tc>
      </w:tr>
      <w:tr w:rsidR="000B52F9" w:rsidRPr="00F85C3E" w14:paraId="4136E17E" w14:textId="77777777" w:rsidTr="001A3AD9">
        <w:trPr>
          <w:cantSplit/>
          <w:trHeight w:val="230"/>
        </w:trPr>
        <w:tc>
          <w:tcPr>
            <w:tcW w:w="976" w:type="dxa"/>
            <w:shd w:val="clear" w:color="auto" w:fill="auto"/>
            <w:hideMark/>
          </w:tcPr>
          <w:p w14:paraId="079C1DD6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1.7</w:t>
            </w:r>
          </w:p>
        </w:tc>
        <w:tc>
          <w:tcPr>
            <w:tcW w:w="442" w:type="dxa"/>
            <w:shd w:val="clear" w:color="auto" w:fill="auto"/>
          </w:tcPr>
          <w:p w14:paraId="0B31442E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C115D58" w14:textId="5B5C3BB6" w:rsidR="000B52F9" w:rsidRPr="00827084" w:rsidRDefault="00F9031F" w:rsidP="00F9031F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Standardy dla napraw </w:t>
            </w:r>
            <w:r w:rsidRPr="00827084">
              <w:rPr>
                <w:strike/>
                <w:lang w:val="pl-PL"/>
              </w:rPr>
              <w:t>poważnej</w:t>
            </w:r>
            <w:r w:rsidRPr="00827084">
              <w:rPr>
                <w:lang w:val="pl-PL"/>
              </w:rPr>
              <w:t xml:space="preserve"> i modyfikacj</w:t>
            </w:r>
            <w:r w:rsidRPr="00506CE3">
              <w:rPr>
                <w:highlight w:val="cyan"/>
                <w:lang w:val="pl-PL"/>
              </w:rPr>
              <w:t>i</w:t>
            </w:r>
            <w:r w:rsidRPr="00827084">
              <w:rPr>
                <w:strike/>
                <w:lang w:val="pl-PL"/>
              </w:rPr>
              <w:t xml:space="preserve">  </w:t>
            </w:r>
          </w:p>
        </w:tc>
      </w:tr>
      <w:tr w:rsidR="000B52F9" w:rsidRPr="00827084" w14:paraId="2CBEA6F6" w14:textId="77777777" w:rsidTr="001A3AD9">
        <w:trPr>
          <w:cantSplit/>
          <w:trHeight w:val="208"/>
        </w:trPr>
        <w:tc>
          <w:tcPr>
            <w:tcW w:w="976" w:type="dxa"/>
            <w:shd w:val="clear" w:color="auto" w:fill="auto"/>
            <w:hideMark/>
          </w:tcPr>
          <w:p w14:paraId="71758798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1.8</w:t>
            </w:r>
          </w:p>
        </w:tc>
        <w:tc>
          <w:tcPr>
            <w:tcW w:w="442" w:type="dxa"/>
            <w:shd w:val="clear" w:color="auto" w:fill="auto"/>
          </w:tcPr>
          <w:p w14:paraId="44DFD6D8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A41E36D" w14:textId="0C5AF9CD" w:rsidR="000B52F9" w:rsidRPr="00827084" w:rsidRDefault="00F9031F" w:rsidP="00F86CED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Raporty dotyczące </w:t>
            </w:r>
            <w:r w:rsidR="00F86CED">
              <w:rPr>
                <w:lang w:val="pl-PL"/>
              </w:rPr>
              <w:t>usterek</w:t>
            </w:r>
          </w:p>
        </w:tc>
      </w:tr>
      <w:tr w:rsidR="000B52F9" w:rsidRPr="00827084" w14:paraId="115723B9" w14:textId="77777777" w:rsidTr="001A3AD9">
        <w:trPr>
          <w:cantSplit/>
          <w:trHeight w:val="59"/>
        </w:trPr>
        <w:tc>
          <w:tcPr>
            <w:tcW w:w="976" w:type="dxa"/>
            <w:shd w:val="clear" w:color="auto" w:fill="auto"/>
            <w:hideMark/>
          </w:tcPr>
          <w:p w14:paraId="29180775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1.9</w:t>
            </w:r>
          </w:p>
        </w:tc>
        <w:tc>
          <w:tcPr>
            <w:tcW w:w="442" w:type="dxa"/>
            <w:shd w:val="clear" w:color="auto" w:fill="auto"/>
          </w:tcPr>
          <w:p w14:paraId="19E2D00C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D542D35" w14:textId="0A71DF05" w:rsidR="000B52F9" w:rsidRPr="00827084" w:rsidRDefault="00F9031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Działalność inżynierska</w:t>
            </w:r>
          </w:p>
        </w:tc>
      </w:tr>
      <w:tr w:rsidR="000B52F9" w:rsidRPr="00827084" w14:paraId="05DA3973" w14:textId="77777777" w:rsidTr="001A3AD9">
        <w:trPr>
          <w:cantSplit/>
          <w:trHeight w:val="190"/>
        </w:trPr>
        <w:tc>
          <w:tcPr>
            <w:tcW w:w="976" w:type="dxa"/>
            <w:shd w:val="clear" w:color="auto" w:fill="auto"/>
            <w:hideMark/>
          </w:tcPr>
          <w:p w14:paraId="57021F09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1.10</w:t>
            </w:r>
          </w:p>
        </w:tc>
        <w:tc>
          <w:tcPr>
            <w:tcW w:w="442" w:type="dxa"/>
            <w:shd w:val="clear" w:color="auto" w:fill="auto"/>
          </w:tcPr>
          <w:p w14:paraId="076D8A45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105E1F0F" w14:textId="641162ED" w:rsidR="000B52F9" w:rsidRPr="00827084" w:rsidRDefault="00F9031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Programy wiarygodności</w:t>
            </w:r>
          </w:p>
        </w:tc>
      </w:tr>
      <w:tr w:rsidR="000B52F9" w:rsidRPr="00827084" w14:paraId="56D43A87" w14:textId="77777777" w:rsidTr="001A3AD9">
        <w:trPr>
          <w:cantSplit/>
          <w:trHeight w:val="156"/>
        </w:trPr>
        <w:tc>
          <w:tcPr>
            <w:tcW w:w="976" w:type="dxa"/>
            <w:shd w:val="clear" w:color="auto" w:fill="auto"/>
            <w:hideMark/>
          </w:tcPr>
          <w:p w14:paraId="1FDAB0B2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1.11</w:t>
            </w:r>
          </w:p>
        </w:tc>
        <w:tc>
          <w:tcPr>
            <w:tcW w:w="442" w:type="dxa"/>
            <w:shd w:val="clear" w:color="auto" w:fill="auto"/>
          </w:tcPr>
          <w:p w14:paraId="23B94DD2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16EB2AC3" w14:textId="544DFC0B" w:rsidR="000B52F9" w:rsidRPr="00827084" w:rsidRDefault="00F9031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Inspekcje przed lotem</w:t>
            </w:r>
          </w:p>
        </w:tc>
      </w:tr>
      <w:tr w:rsidR="000B52F9" w:rsidRPr="00827084" w14:paraId="2539D6FA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hideMark/>
          </w:tcPr>
          <w:p w14:paraId="26D63605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1.12</w:t>
            </w:r>
          </w:p>
        </w:tc>
        <w:tc>
          <w:tcPr>
            <w:tcW w:w="442" w:type="dxa"/>
            <w:shd w:val="clear" w:color="auto" w:fill="auto"/>
          </w:tcPr>
          <w:p w14:paraId="02E323A7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EDB7C3B" w14:textId="5F22CDBE" w:rsidR="000B52F9" w:rsidRPr="00827084" w:rsidRDefault="00F9031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Ważenie statku powietrznego</w:t>
            </w:r>
          </w:p>
        </w:tc>
      </w:tr>
      <w:tr w:rsidR="000B52F9" w:rsidRPr="00F85C3E" w14:paraId="7163BCA9" w14:textId="77777777" w:rsidTr="001A3AD9">
        <w:trPr>
          <w:cantSplit/>
          <w:trHeight w:val="254"/>
        </w:trPr>
        <w:tc>
          <w:tcPr>
            <w:tcW w:w="976" w:type="dxa"/>
            <w:shd w:val="clear" w:color="auto" w:fill="auto"/>
            <w:hideMark/>
          </w:tcPr>
          <w:p w14:paraId="36F902B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1.13</w:t>
            </w:r>
          </w:p>
        </w:tc>
        <w:tc>
          <w:tcPr>
            <w:tcW w:w="442" w:type="dxa"/>
            <w:shd w:val="clear" w:color="auto" w:fill="auto"/>
          </w:tcPr>
          <w:p w14:paraId="09EB2FA2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1E8F0FF4" w14:textId="38962D07" w:rsidR="000B52F9" w:rsidRPr="00827084" w:rsidRDefault="00F9031F" w:rsidP="00F9031F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Procedury dla </w:t>
            </w:r>
            <w:r w:rsidRPr="00827084">
              <w:rPr>
                <w:highlight w:val="cyan"/>
                <w:lang w:val="pl-PL"/>
              </w:rPr>
              <w:t>po obsługowego</w:t>
            </w:r>
            <w:r w:rsidRPr="00827084">
              <w:rPr>
                <w:lang w:val="pl-PL"/>
              </w:rPr>
              <w:t xml:space="preserve"> lotu kontrolnego </w:t>
            </w:r>
          </w:p>
        </w:tc>
      </w:tr>
      <w:tr w:rsidR="000B52F9" w:rsidRPr="00F85C3E" w14:paraId="3DF86E31" w14:textId="77777777" w:rsidTr="001A3AD9">
        <w:trPr>
          <w:cantSplit/>
          <w:trHeight w:val="276"/>
        </w:trPr>
        <w:tc>
          <w:tcPr>
            <w:tcW w:w="976" w:type="dxa"/>
            <w:hideMark/>
          </w:tcPr>
          <w:p w14:paraId="1A498201" w14:textId="244DBC97" w:rsidR="000B52F9" w:rsidRPr="00827084" w:rsidRDefault="001A3AD9" w:rsidP="008C6D38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t>Część</w:t>
            </w:r>
            <w:r w:rsidRPr="00827084">
              <w:rPr>
                <w:rStyle w:val="Bold"/>
                <w:lang w:val="pl-PL"/>
              </w:rPr>
              <w:t xml:space="preserve"> </w:t>
            </w:r>
            <w:r w:rsidR="000B52F9" w:rsidRPr="00827084">
              <w:rPr>
                <w:rStyle w:val="Bold"/>
                <w:lang w:val="pl-PL"/>
              </w:rPr>
              <w:t>2</w:t>
            </w:r>
          </w:p>
        </w:tc>
        <w:tc>
          <w:tcPr>
            <w:tcW w:w="12916" w:type="dxa"/>
            <w:gridSpan w:val="2"/>
            <w:hideMark/>
          </w:tcPr>
          <w:p w14:paraId="110D1557" w14:textId="1431CEAB" w:rsidR="000B52F9" w:rsidRPr="00827084" w:rsidRDefault="00F9031F" w:rsidP="00F9031F">
            <w:pPr>
              <w:pStyle w:val="TableNormal"/>
              <w:rPr>
                <w:rStyle w:val="Bold"/>
                <w:lang w:val="pl-PL"/>
              </w:rPr>
            </w:pPr>
            <w:r w:rsidRPr="00827084">
              <w:rPr>
                <w:rStyle w:val="Bold"/>
                <w:strike/>
                <w:lang w:val="pl-PL"/>
              </w:rPr>
              <w:t>System jakości</w:t>
            </w:r>
            <w:r w:rsidR="000B52F9" w:rsidRPr="00827084">
              <w:rPr>
                <w:b/>
                <w:lang w:val="pl-PL"/>
              </w:rPr>
              <w:t xml:space="preserve"> </w:t>
            </w:r>
            <w:r w:rsidRPr="00827084">
              <w:rPr>
                <w:b/>
                <w:highlight w:val="cyan"/>
                <w:lang w:val="pl-PL"/>
              </w:rPr>
              <w:t>Procedury systemu zarządzania</w:t>
            </w:r>
          </w:p>
        </w:tc>
      </w:tr>
      <w:tr w:rsidR="000B52F9" w:rsidRPr="00F85C3E" w14:paraId="7C28712C" w14:textId="77777777" w:rsidTr="001A3AD9">
        <w:trPr>
          <w:trHeight w:hRule="exact" w:val="338"/>
        </w:trPr>
        <w:tc>
          <w:tcPr>
            <w:tcW w:w="976" w:type="dxa"/>
            <w:shd w:val="clear" w:color="auto" w:fill="auto"/>
          </w:tcPr>
          <w:p w14:paraId="7EA8217E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2.1</w:t>
            </w:r>
          </w:p>
        </w:tc>
        <w:tc>
          <w:tcPr>
            <w:tcW w:w="442" w:type="dxa"/>
            <w:shd w:val="clear" w:color="auto" w:fill="auto"/>
          </w:tcPr>
          <w:p w14:paraId="1319DADC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706C7F1E" w14:textId="77777777" w:rsidR="00F9031F" w:rsidRPr="00827084" w:rsidRDefault="00F9031F" w:rsidP="00F9031F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Systemy identyfikacji zagrożeń i zarządzania ryzykiem bezpieczeństwa</w:t>
            </w:r>
          </w:p>
          <w:p w14:paraId="61EDD59A" w14:textId="62AF0C01" w:rsidR="000B52F9" w:rsidRPr="00827084" w:rsidRDefault="000B52F9" w:rsidP="008C6D38">
            <w:pPr>
              <w:pStyle w:val="TableNormal"/>
              <w:rPr>
                <w:strike/>
                <w:highlight w:val="cyan"/>
                <w:lang w:val="pl-PL"/>
              </w:rPr>
            </w:pPr>
          </w:p>
        </w:tc>
      </w:tr>
      <w:tr w:rsidR="000B52F9" w:rsidRPr="00F85C3E" w14:paraId="1B38100F" w14:textId="77777777" w:rsidTr="001A3AD9">
        <w:trPr>
          <w:trHeight w:hRule="exact" w:val="338"/>
        </w:trPr>
        <w:tc>
          <w:tcPr>
            <w:tcW w:w="976" w:type="dxa"/>
            <w:shd w:val="clear" w:color="auto" w:fill="auto"/>
          </w:tcPr>
          <w:p w14:paraId="368AAB55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2.2</w:t>
            </w:r>
          </w:p>
        </w:tc>
        <w:tc>
          <w:tcPr>
            <w:tcW w:w="442" w:type="dxa"/>
            <w:shd w:val="clear" w:color="auto" w:fill="auto"/>
          </w:tcPr>
          <w:p w14:paraId="00DBA995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06057A78" w14:textId="7C703FEF" w:rsidR="000B52F9" w:rsidRPr="00827084" w:rsidRDefault="00F9031F" w:rsidP="00F9031F">
            <w:pPr>
              <w:pStyle w:val="TableNormal"/>
              <w:rPr>
                <w:strike/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Wewnętrzne rapor</w:t>
            </w:r>
            <w:r w:rsidR="002D0B98" w:rsidRPr="00827084">
              <w:rPr>
                <w:highlight w:val="cyan"/>
                <w:lang w:val="pl-PL"/>
              </w:rPr>
              <w:t>t</w:t>
            </w:r>
            <w:r w:rsidRPr="00827084">
              <w:rPr>
                <w:highlight w:val="cyan"/>
                <w:lang w:val="pl-PL"/>
              </w:rPr>
              <w:t>owanie bezpieczeństwa i badania</w:t>
            </w:r>
          </w:p>
        </w:tc>
      </w:tr>
      <w:tr w:rsidR="000B52F9" w:rsidRPr="00827084" w14:paraId="27C53C63" w14:textId="77777777" w:rsidTr="001A3AD9">
        <w:trPr>
          <w:trHeight w:hRule="exact" w:val="338"/>
        </w:trPr>
        <w:tc>
          <w:tcPr>
            <w:tcW w:w="976" w:type="dxa"/>
            <w:shd w:val="clear" w:color="auto" w:fill="auto"/>
          </w:tcPr>
          <w:p w14:paraId="50CCD2D8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2.3</w:t>
            </w:r>
          </w:p>
        </w:tc>
        <w:tc>
          <w:tcPr>
            <w:tcW w:w="442" w:type="dxa"/>
            <w:shd w:val="clear" w:color="auto" w:fill="auto"/>
          </w:tcPr>
          <w:p w14:paraId="5CC17648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298149A1" w14:textId="77777777" w:rsidR="00F9031F" w:rsidRPr="00827084" w:rsidRDefault="00F9031F" w:rsidP="00F9031F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Planowanie działań w zakresie bezpieczeństwa</w:t>
            </w:r>
          </w:p>
          <w:p w14:paraId="04E3872B" w14:textId="4127A8BE" w:rsidR="000B52F9" w:rsidRPr="00827084" w:rsidRDefault="000B52F9" w:rsidP="008C6D38">
            <w:pPr>
              <w:pStyle w:val="TableNormal"/>
              <w:rPr>
                <w:strike/>
                <w:highlight w:val="cyan"/>
                <w:lang w:val="pl-PL"/>
              </w:rPr>
            </w:pPr>
          </w:p>
        </w:tc>
      </w:tr>
      <w:tr w:rsidR="000B52F9" w:rsidRPr="00827084" w14:paraId="15549AA0" w14:textId="77777777" w:rsidTr="001A3AD9">
        <w:trPr>
          <w:trHeight w:hRule="exact" w:val="338"/>
        </w:trPr>
        <w:tc>
          <w:tcPr>
            <w:tcW w:w="976" w:type="dxa"/>
            <w:shd w:val="clear" w:color="auto" w:fill="auto"/>
          </w:tcPr>
          <w:p w14:paraId="54AA6B8B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lastRenderedPageBreak/>
              <w:t>2.4</w:t>
            </w:r>
          </w:p>
        </w:tc>
        <w:tc>
          <w:tcPr>
            <w:tcW w:w="442" w:type="dxa"/>
            <w:shd w:val="clear" w:color="auto" w:fill="auto"/>
          </w:tcPr>
          <w:p w14:paraId="28EC9B93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5D9175DC" w14:textId="53DD9073" w:rsidR="002D0B98" w:rsidRPr="00827084" w:rsidRDefault="002D0B98" w:rsidP="002D0B9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Monitorowanie poziomu bezpieczeństwa</w:t>
            </w:r>
          </w:p>
          <w:p w14:paraId="18191558" w14:textId="018B7198" w:rsidR="000B52F9" w:rsidRPr="00827084" w:rsidRDefault="000B52F9" w:rsidP="008C6D38">
            <w:pPr>
              <w:pStyle w:val="TableNormal"/>
              <w:rPr>
                <w:strike/>
                <w:highlight w:val="cyan"/>
                <w:lang w:val="pl-PL"/>
              </w:rPr>
            </w:pPr>
          </w:p>
        </w:tc>
      </w:tr>
      <w:tr w:rsidR="000B52F9" w:rsidRPr="00827084" w14:paraId="2CD752FE" w14:textId="77777777" w:rsidTr="001A3AD9">
        <w:trPr>
          <w:trHeight w:hRule="exact" w:val="412"/>
        </w:trPr>
        <w:tc>
          <w:tcPr>
            <w:tcW w:w="976" w:type="dxa"/>
            <w:shd w:val="clear" w:color="auto" w:fill="auto"/>
          </w:tcPr>
          <w:p w14:paraId="69BCB4CE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2.5</w:t>
            </w:r>
          </w:p>
        </w:tc>
        <w:tc>
          <w:tcPr>
            <w:tcW w:w="442" w:type="dxa"/>
            <w:shd w:val="clear" w:color="auto" w:fill="auto"/>
          </w:tcPr>
          <w:p w14:paraId="07712406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1A7F9DD9" w14:textId="3B5FD123" w:rsidR="000B52F9" w:rsidRPr="00827084" w:rsidRDefault="002D0B98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Zarządzanie zmianą</w:t>
            </w:r>
            <w:r w:rsidR="000B52F9" w:rsidRPr="00827084">
              <w:rPr>
                <w:highlight w:val="cyan"/>
                <w:lang w:val="pl-PL"/>
              </w:rPr>
              <w:t xml:space="preserve"> </w:t>
            </w:r>
          </w:p>
        </w:tc>
      </w:tr>
      <w:tr w:rsidR="000B52F9" w:rsidRPr="00827084" w14:paraId="2CFDF447" w14:textId="77777777" w:rsidTr="001A3AD9">
        <w:trPr>
          <w:trHeight w:hRule="exact" w:val="338"/>
        </w:trPr>
        <w:tc>
          <w:tcPr>
            <w:tcW w:w="976" w:type="dxa"/>
            <w:shd w:val="clear" w:color="auto" w:fill="auto"/>
          </w:tcPr>
          <w:p w14:paraId="5B97A6D9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2.6</w:t>
            </w:r>
          </w:p>
        </w:tc>
        <w:tc>
          <w:tcPr>
            <w:tcW w:w="442" w:type="dxa"/>
            <w:shd w:val="clear" w:color="auto" w:fill="auto"/>
          </w:tcPr>
          <w:p w14:paraId="63E8C519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60454D52" w14:textId="77777777" w:rsidR="002D0B98" w:rsidRPr="00827084" w:rsidRDefault="002D0B98" w:rsidP="002D0B9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Szkolenie i promocja bezpieczeństwa</w:t>
            </w:r>
          </w:p>
          <w:p w14:paraId="73DE29FE" w14:textId="51F5DDA8" w:rsidR="000B52F9" w:rsidRPr="00827084" w:rsidRDefault="000B52F9" w:rsidP="008C6D38">
            <w:pPr>
              <w:pStyle w:val="TableNormal"/>
              <w:rPr>
                <w:strike/>
                <w:highlight w:val="cyan"/>
                <w:lang w:val="pl-PL"/>
              </w:rPr>
            </w:pPr>
          </w:p>
        </w:tc>
      </w:tr>
      <w:tr w:rsidR="000B52F9" w:rsidRPr="00F85C3E" w14:paraId="7EECA798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</w:tcPr>
          <w:p w14:paraId="25911D23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highlight w:val="cyan"/>
                <w:lang w:val="pl-PL"/>
              </w:rPr>
              <w:t>2.7</w:t>
            </w:r>
          </w:p>
        </w:tc>
        <w:tc>
          <w:tcPr>
            <w:tcW w:w="442" w:type="dxa"/>
            <w:shd w:val="clear" w:color="auto" w:fill="auto"/>
          </w:tcPr>
          <w:p w14:paraId="4B179D48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</w:tcPr>
          <w:p w14:paraId="63F9BDA1" w14:textId="2CDB9B49" w:rsidR="000B52F9" w:rsidRPr="00827084" w:rsidRDefault="002D0B98" w:rsidP="002D0B98">
            <w:pPr>
              <w:pStyle w:val="TableNormal"/>
              <w:rPr>
                <w:lang w:val="pl-PL"/>
              </w:rPr>
            </w:pPr>
            <w:r w:rsidRPr="00827084">
              <w:rPr>
                <w:highlight w:val="cyan"/>
                <w:lang w:val="pl-PL"/>
              </w:rPr>
              <w:t xml:space="preserve">Natychmiastowe działanie bezpieczeństwa i koordynacja z planem reagowania kryzysowego  operatora  </w:t>
            </w:r>
            <w:r w:rsidR="000B52F9" w:rsidRPr="00827084">
              <w:rPr>
                <w:highlight w:val="cyan"/>
                <w:lang w:val="pl-PL"/>
              </w:rPr>
              <w:t>(ERP)</w:t>
            </w:r>
          </w:p>
        </w:tc>
      </w:tr>
      <w:tr w:rsidR="000B52F9" w:rsidRPr="00827084" w14:paraId="51D2D033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</w:tcPr>
          <w:p w14:paraId="57E677D1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2.8</w:t>
            </w:r>
          </w:p>
        </w:tc>
        <w:tc>
          <w:tcPr>
            <w:tcW w:w="442" w:type="dxa"/>
            <w:shd w:val="clear" w:color="auto" w:fill="auto"/>
          </w:tcPr>
          <w:p w14:paraId="3F8F61AC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7AA2C7AA" w14:textId="19072E5A" w:rsidR="000B52F9" w:rsidRPr="00827084" w:rsidRDefault="002D0B98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Monitorowanie zgodności</w:t>
            </w:r>
            <w:r w:rsidR="000B52F9" w:rsidRPr="00827084">
              <w:rPr>
                <w:highlight w:val="cyan"/>
                <w:lang w:val="pl-PL"/>
              </w:rPr>
              <w:t xml:space="preserve"> </w:t>
            </w:r>
          </w:p>
        </w:tc>
      </w:tr>
      <w:tr w:rsidR="000B52F9" w:rsidRPr="00F85C3E" w14:paraId="49F09716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hideMark/>
          </w:tcPr>
          <w:p w14:paraId="1F8A0FB8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2.</w:t>
            </w:r>
            <w:r w:rsidRPr="00827084">
              <w:rPr>
                <w:highlight w:val="cyan"/>
                <w:lang w:val="pl-PL"/>
              </w:rPr>
              <w:t>8.</w:t>
            </w:r>
            <w:r w:rsidRPr="00827084">
              <w:rPr>
                <w:lang w:val="pl-PL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0E89BB7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4EAACB6" w14:textId="49C665D3" w:rsidR="000B52F9" w:rsidRPr="00827084" w:rsidRDefault="002D0B98" w:rsidP="002D0B98">
            <w:pPr>
              <w:pStyle w:val="TableNormal"/>
              <w:rPr>
                <w:lang w:val="pl-PL"/>
              </w:rPr>
            </w:pPr>
            <w:r w:rsidRPr="00827084">
              <w:rPr>
                <w:strike/>
                <w:lang w:val="pl-PL"/>
              </w:rPr>
              <w:t xml:space="preserve">Polityka jakości ciągłej zdatności do lotu, </w:t>
            </w:r>
            <w:r w:rsidRPr="00827084">
              <w:rPr>
                <w:lang w:val="pl-PL"/>
              </w:rPr>
              <w:t>Plan</w:t>
            </w:r>
            <w:r w:rsidRPr="00827084">
              <w:rPr>
                <w:highlight w:val="cyan"/>
                <w:lang w:val="pl-PL"/>
              </w:rPr>
              <w:t xml:space="preserve"> audytu </w:t>
            </w:r>
            <w:r w:rsidRPr="00827084">
              <w:rPr>
                <w:lang w:val="pl-PL"/>
              </w:rPr>
              <w:t>i procedura audytu</w:t>
            </w:r>
          </w:p>
        </w:tc>
      </w:tr>
      <w:tr w:rsidR="000B52F9" w:rsidRPr="00F85C3E" w14:paraId="0ECC85BC" w14:textId="77777777" w:rsidTr="001A3AD9">
        <w:trPr>
          <w:cantSplit/>
          <w:trHeight w:val="248"/>
        </w:trPr>
        <w:tc>
          <w:tcPr>
            <w:tcW w:w="976" w:type="dxa"/>
            <w:shd w:val="clear" w:color="auto" w:fill="auto"/>
            <w:hideMark/>
          </w:tcPr>
          <w:p w14:paraId="2DE10015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2.</w:t>
            </w:r>
            <w:r w:rsidRPr="00827084">
              <w:rPr>
                <w:highlight w:val="cyan"/>
                <w:lang w:val="pl-PL"/>
              </w:rPr>
              <w:t xml:space="preserve"> 8.</w:t>
            </w:r>
            <w:r w:rsidRPr="00827084">
              <w:rPr>
                <w:lang w:val="pl-PL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2BCCFE58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2465234" w14:textId="332F2434" w:rsidR="000B52F9" w:rsidRPr="00827084" w:rsidRDefault="002D0B98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Monitorowanie czynności zarządzania ciągłą zdatnością do lotu</w:t>
            </w:r>
          </w:p>
        </w:tc>
      </w:tr>
      <w:tr w:rsidR="000B52F9" w:rsidRPr="00F85C3E" w14:paraId="2C22D90E" w14:textId="77777777" w:rsidTr="001A3AD9">
        <w:trPr>
          <w:cantSplit/>
          <w:trHeight w:val="234"/>
        </w:trPr>
        <w:tc>
          <w:tcPr>
            <w:tcW w:w="976" w:type="dxa"/>
            <w:shd w:val="clear" w:color="auto" w:fill="auto"/>
            <w:hideMark/>
          </w:tcPr>
          <w:p w14:paraId="5733460D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2.</w:t>
            </w:r>
            <w:r w:rsidRPr="00827084">
              <w:rPr>
                <w:highlight w:val="cyan"/>
                <w:lang w:val="pl-PL"/>
              </w:rPr>
              <w:t xml:space="preserve"> 8.</w:t>
            </w:r>
            <w:r w:rsidRPr="00827084">
              <w:rPr>
                <w:lang w:val="pl-PL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51348D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FDF7F49" w14:textId="7E24954E" w:rsidR="000B52F9" w:rsidRPr="00827084" w:rsidRDefault="002D0B98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Monitorowanie skuteczności programów obsługi </w:t>
            </w:r>
            <w:r w:rsidR="000B52F9" w:rsidRPr="00827084">
              <w:rPr>
                <w:lang w:val="pl-PL"/>
              </w:rPr>
              <w:t>(s)</w:t>
            </w:r>
          </w:p>
        </w:tc>
      </w:tr>
      <w:tr w:rsidR="000B52F9" w:rsidRPr="00F85C3E" w14:paraId="2B941DE3" w14:textId="77777777" w:rsidTr="001A3AD9">
        <w:trPr>
          <w:cantSplit/>
          <w:trHeight w:hRule="exact" w:val="572"/>
        </w:trPr>
        <w:tc>
          <w:tcPr>
            <w:tcW w:w="976" w:type="dxa"/>
            <w:shd w:val="clear" w:color="auto" w:fill="auto"/>
            <w:hideMark/>
          </w:tcPr>
          <w:p w14:paraId="4FEDB724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2.</w:t>
            </w:r>
            <w:r w:rsidRPr="00827084">
              <w:rPr>
                <w:highlight w:val="cyan"/>
                <w:lang w:val="pl-PL"/>
              </w:rPr>
              <w:t xml:space="preserve"> 8.</w:t>
            </w:r>
            <w:r w:rsidRPr="00827084">
              <w:rPr>
                <w:lang w:val="pl-PL"/>
              </w:rPr>
              <w:t>4</w:t>
            </w:r>
          </w:p>
        </w:tc>
        <w:tc>
          <w:tcPr>
            <w:tcW w:w="442" w:type="dxa"/>
            <w:shd w:val="clear" w:color="auto" w:fill="auto"/>
          </w:tcPr>
          <w:p w14:paraId="6D97BDBC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156D772" w14:textId="165B31DF" w:rsidR="000B52F9" w:rsidRPr="00827084" w:rsidRDefault="00F55071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Monitorowanie, czy cała obsługa jest wykonywana przez odpowiednią organizację obsługi</w:t>
            </w:r>
          </w:p>
        </w:tc>
      </w:tr>
      <w:tr w:rsidR="000B52F9" w:rsidRPr="00F85C3E" w14:paraId="10D98FA6" w14:textId="77777777" w:rsidTr="001A3AD9">
        <w:trPr>
          <w:cantSplit/>
          <w:trHeight w:val="500"/>
        </w:trPr>
        <w:tc>
          <w:tcPr>
            <w:tcW w:w="976" w:type="dxa"/>
            <w:shd w:val="clear" w:color="auto" w:fill="auto"/>
            <w:hideMark/>
          </w:tcPr>
          <w:p w14:paraId="6C4B4F79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2.</w:t>
            </w:r>
            <w:r w:rsidRPr="00827084">
              <w:rPr>
                <w:highlight w:val="cyan"/>
                <w:lang w:val="pl-PL"/>
              </w:rPr>
              <w:t xml:space="preserve"> 8.</w:t>
            </w:r>
            <w:r w:rsidRPr="00827084">
              <w:rPr>
                <w:lang w:val="pl-PL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14:paraId="2034D623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607B5E3" w14:textId="6A29D4F7" w:rsidR="000B52F9" w:rsidRPr="00827084" w:rsidRDefault="00F55071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Monitorowanie, czy cała zakontraktowana obsługa realizowana jest zgodnie z umową, w tym podwykonawców wykorzystywanych przez głównego wykonawcę obsługi</w:t>
            </w:r>
          </w:p>
        </w:tc>
      </w:tr>
      <w:tr w:rsidR="000B52F9" w:rsidRPr="00F85C3E" w14:paraId="6887EB41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hideMark/>
          </w:tcPr>
          <w:p w14:paraId="0568800A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2.</w:t>
            </w:r>
            <w:r w:rsidRPr="00827084">
              <w:rPr>
                <w:highlight w:val="cyan"/>
                <w:lang w:val="pl-PL"/>
              </w:rPr>
              <w:t xml:space="preserve"> 8.</w:t>
            </w:r>
            <w:r w:rsidRPr="00827084">
              <w:rPr>
                <w:lang w:val="pl-PL"/>
              </w:rPr>
              <w:t>6</w:t>
            </w:r>
          </w:p>
        </w:tc>
        <w:tc>
          <w:tcPr>
            <w:tcW w:w="442" w:type="dxa"/>
            <w:shd w:val="clear" w:color="auto" w:fill="auto"/>
          </w:tcPr>
          <w:p w14:paraId="1504C3F8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2DECDBE" w14:textId="788167ED" w:rsidR="000B52F9" w:rsidRPr="00827084" w:rsidRDefault="00F55071" w:rsidP="00F55071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Personel</w:t>
            </w:r>
            <w:r w:rsidRPr="00827084">
              <w:rPr>
                <w:highlight w:val="cyan"/>
                <w:lang w:val="pl-PL"/>
              </w:rPr>
              <w:t xml:space="preserve"> monitorowania zgodności</w:t>
            </w:r>
            <w:r w:rsidR="000B52F9" w:rsidRPr="00827084">
              <w:rPr>
                <w:lang w:val="pl-PL"/>
              </w:rPr>
              <w:t xml:space="preserve"> </w:t>
            </w:r>
            <w:r w:rsidRPr="00827084">
              <w:rPr>
                <w:strike/>
                <w:lang w:val="pl-PL"/>
              </w:rPr>
              <w:t xml:space="preserve">audytu jakości </w:t>
            </w:r>
          </w:p>
        </w:tc>
      </w:tr>
      <w:tr w:rsidR="000B52F9" w:rsidRPr="00827084" w14:paraId="1C30C924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vAlign w:val="center"/>
          </w:tcPr>
          <w:p w14:paraId="415918EB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2.9</w:t>
            </w:r>
          </w:p>
        </w:tc>
        <w:tc>
          <w:tcPr>
            <w:tcW w:w="442" w:type="dxa"/>
            <w:shd w:val="clear" w:color="auto" w:fill="auto"/>
          </w:tcPr>
          <w:p w14:paraId="121DD653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</w:tcPr>
          <w:p w14:paraId="1DB3F7A9" w14:textId="46F4FA9F" w:rsidR="000B52F9" w:rsidRPr="00827084" w:rsidRDefault="00F55071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Kontrola kompetencji personel</w:t>
            </w:r>
          </w:p>
        </w:tc>
      </w:tr>
      <w:tr w:rsidR="000B52F9" w:rsidRPr="00827084" w14:paraId="5874E98C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vAlign w:val="center"/>
          </w:tcPr>
          <w:p w14:paraId="16A12D24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2.10</w:t>
            </w:r>
          </w:p>
        </w:tc>
        <w:tc>
          <w:tcPr>
            <w:tcW w:w="442" w:type="dxa"/>
            <w:shd w:val="clear" w:color="auto" w:fill="auto"/>
          </w:tcPr>
          <w:p w14:paraId="404D875C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794EA09F" w14:textId="3973C361" w:rsidR="000B52F9" w:rsidRPr="00827084" w:rsidRDefault="00F55071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lang w:val="pl-PL"/>
              </w:rPr>
              <w:t>Prowadzenie dokumentacji systemu zarządzania</w:t>
            </w:r>
          </w:p>
        </w:tc>
      </w:tr>
      <w:tr w:rsidR="000B52F9" w:rsidRPr="00827084" w14:paraId="6F02EC0F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vAlign w:val="center"/>
          </w:tcPr>
          <w:p w14:paraId="18308E62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2.11</w:t>
            </w:r>
          </w:p>
        </w:tc>
        <w:tc>
          <w:tcPr>
            <w:tcW w:w="442" w:type="dxa"/>
            <w:shd w:val="clear" w:color="auto" w:fill="auto"/>
          </w:tcPr>
          <w:p w14:paraId="19D2F602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  <w:vAlign w:val="center"/>
          </w:tcPr>
          <w:p w14:paraId="4D346B3D" w14:textId="0C266B1A" w:rsidR="000B52F9" w:rsidRPr="00827084" w:rsidRDefault="00506CE3" w:rsidP="008C6D38">
            <w:pPr>
              <w:pStyle w:val="TableNormal"/>
              <w:rPr>
                <w:highlight w:val="cyan"/>
                <w:lang w:val="pl-PL"/>
              </w:rPr>
            </w:pPr>
            <w:r w:rsidRPr="00506CE3">
              <w:rPr>
                <w:highlight w:val="cyan"/>
                <w:lang w:val="pl-PL"/>
              </w:rPr>
              <w:t>Zgłaszanie zdarzeń</w:t>
            </w:r>
            <w:r w:rsidR="00D321AF" w:rsidRPr="00827084">
              <w:rPr>
                <w:lang w:val="pl-PL"/>
              </w:rPr>
              <w:t xml:space="preserve"> </w:t>
            </w:r>
          </w:p>
        </w:tc>
      </w:tr>
      <w:tr w:rsidR="000B52F9" w:rsidRPr="00827084" w14:paraId="7BD16539" w14:textId="77777777" w:rsidTr="001A3AD9">
        <w:trPr>
          <w:cantSplit/>
          <w:trHeight w:val="277"/>
        </w:trPr>
        <w:tc>
          <w:tcPr>
            <w:tcW w:w="976" w:type="dxa"/>
            <w:hideMark/>
          </w:tcPr>
          <w:p w14:paraId="5E26E0AD" w14:textId="7619CA06" w:rsidR="000B52F9" w:rsidRPr="00827084" w:rsidRDefault="001A3AD9" w:rsidP="008C6D38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t>Część</w:t>
            </w:r>
            <w:r w:rsidRPr="00827084">
              <w:rPr>
                <w:rStyle w:val="Bold"/>
                <w:lang w:val="pl-PL"/>
              </w:rPr>
              <w:t xml:space="preserve"> </w:t>
            </w:r>
            <w:r w:rsidR="000B52F9" w:rsidRPr="00827084">
              <w:rPr>
                <w:rStyle w:val="Bold"/>
                <w:lang w:val="pl-PL"/>
              </w:rPr>
              <w:t>3</w:t>
            </w:r>
          </w:p>
        </w:tc>
        <w:tc>
          <w:tcPr>
            <w:tcW w:w="12916" w:type="dxa"/>
            <w:gridSpan w:val="2"/>
            <w:hideMark/>
          </w:tcPr>
          <w:p w14:paraId="148635FA" w14:textId="10410741" w:rsidR="000B52F9" w:rsidRPr="00827084" w:rsidRDefault="005331B5" w:rsidP="00D321AF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t>Zakontraktowana obsługa</w:t>
            </w:r>
            <w:r w:rsidR="000B52F9" w:rsidRPr="00827084">
              <w:rPr>
                <w:rStyle w:val="Bold"/>
                <w:lang w:val="pl-PL"/>
              </w:rPr>
              <w:t xml:space="preserve"> </w:t>
            </w:r>
            <w:r w:rsidR="000B52F9" w:rsidRPr="00827084">
              <w:rPr>
                <w:rStyle w:val="Bold"/>
                <w:highlight w:val="cyan"/>
                <w:lang w:val="pl-PL"/>
              </w:rPr>
              <w:t xml:space="preserve">— </w:t>
            </w:r>
            <w:r w:rsidR="00D321AF" w:rsidRPr="00827084">
              <w:rPr>
                <w:rStyle w:val="Bold"/>
                <w:highlight w:val="cyan"/>
                <w:lang w:val="pl-PL"/>
              </w:rPr>
              <w:t>zarządzanie obsługą</w:t>
            </w:r>
          </w:p>
        </w:tc>
      </w:tr>
      <w:tr w:rsidR="000B52F9" w:rsidRPr="00827084" w14:paraId="7D5AC0BE" w14:textId="77777777" w:rsidTr="001A3AD9">
        <w:trPr>
          <w:cantSplit/>
          <w:trHeight w:val="248"/>
        </w:trPr>
        <w:tc>
          <w:tcPr>
            <w:tcW w:w="976" w:type="dxa"/>
            <w:shd w:val="clear" w:color="auto" w:fill="auto"/>
            <w:hideMark/>
          </w:tcPr>
          <w:p w14:paraId="2B253EC2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3.1</w:t>
            </w:r>
          </w:p>
        </w:tc>
        <w:tc>
          <w:tcPr>
            <w:tcW w:w="442" w:type="dxa"/>
            <w:shd w:val="clear" w:color="auto" w:fill="auto"/>
          </w:tcPr>
          <w:p w14:paraId="4EE5667A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1993388" w14:textId="58065F47" w:rsidR="000B52F9" w:rsidRPr="00827084" w:rsidRDefault="00D321A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Procedura wyboru wykonawcy obsługi</w:t>
            </w:r>
          </w:p>
        </w:tc>
      </w:tr>
      <w:tr w:rsidR="000B52F9" w:rsidRPr="00F85C3E" w14:paraId="22F03D89" w14:textId="77777777" w:rsidTr="001A3AD9">
        <w:trPr>
          <w:cantSplit/>
          <w:trHeight w:val="262"/>
        </w:trPr>
        <w:tc>
          <w:tcPr>
            <w:tcW w:w="976" w:type="dxa"/>
            <w:shd w:val="clear" w:color="auto" w:fill="auto"/>
            <w:hideMark/>
          </w:tcPr>
          <w:p w14:paraId="1DA13F26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3.2</w:t>
            </w:r>
          </w:p>
        </w:tc>
        <w:tc>
          <w:tcPr>
            <w:tcW w:w="442" w:type="dxa"/>
            <w:shd w:val="clear" w:color="auto" w:fill="auto"/>
          </w:tcPr>
          <w:p w14:paraId="4E004DAD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7CB0BA83" w14:textId="6DCB14F8" w:rsidR="000B52F9" w:rsidRPr="00827084" w:rsidRDefault="00D321A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Audyt </w:t>
            </w:r>
            <w:r w:rsidRPr="00827084">
              <w:rPr>
                <w:highlight w:val="cyan"/>
                <w:lang w:val="pl-PL"/>
              </w:rPr>
              <w:t>produktu</w:t>
            </w:r>
            <w:r w:rsidRPr="00827084">
              <w:rPr>
                <w:lang w:val="pl-PL"/>
              </w:rPr>
              <w:t xml:space="preserve"> </w:t>
            </w:r>
            <w:r w:rsidRPr="00827084">
              <w:rPr>
                <w:strike/>
                <w:lang w:val="pl-PL"/>
              </w:rPr>
              <w:t>jakości</w:t>
            </w:r>
            <w:r w:rsidRPr="00827084">
              <w:rPr>
                <w:lang w:val="pl-PL"/>
              </w:rPr>
              <w:t xml:space="preserve"> statku powietrznego</w:t>
            </w:r>
          </w:p>
        </w:tc>
      </w:tr>
      <w:tr w:rsidR="000B52F9" w:rsidRPr="00F85C3E" w14:paraId="7CACFAD0" w14:textId="77777777" w:rsidTr="001A3AD9">
        <w:trPr>
          <w:cantSplit/>
          <w:trHeight w:val="276"/>
        </w:trPr>
        <w:tc>
          <w:tcPr>
            <w:tcW w:w="976" w:type="dxa"/>
            <w:hideMark/>
          </w:tcPr>
          <w:p w14:paraId="757573AD" w14:textId="3A21585F" w:rsidR="000B52F9" w:rsidRPr="00827084" w:rsidRDefault="001A3AD9" w:rsidP="008C6D38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t>Część</w:t>
            </w:r>
            <w:r w:rsidRPr="00827084">
              <w:rPr>
                <w:rStyle w:val="Bold"/>
                <w:lang w:val="pl-PL"/>
              </w:rPr>
              <w:t xml:space="preserve"> </w:t>
            </w:r>
            <w:r w:rsidR="000B52F9" w:rsidRPr="00827084">
              <w:rPr>
                <w:rStyle w:val="Bold"/>
                <w:lang w:val="pl-PL"/>
              </w:rPr>
              <w:t>4</w:t>
            </w:r>
          </w:p>
        </w:tc>
        <w:tc>
          <w:tcPr>
            <w:tcW w:w="12916" w:type="dxa"/>
            <w:gridSpan w:val="2"/>
            <w:hideMark/>
          </w:tcPr>
          <w:p w14:paraId="35E3BBEB" w14:textId="103FAC8C" w:rsidR="000B52F9" w:rsidRPr="00827084" w:rsidRDefault="00D321AF" w:rsidP="00D321AF">
            <w:pPr>
              <w:pStyle w:val="TableNormal"/>
              <w:rPr>
                <w:rStyle w:val="Bold"/>
                <w:lang w:val="pl-PL"/>
              </w:rPr>
            </w:pPr>
            <w:r w:rsidRPr="00827084">
              <w:rPr>
                <w:rStyle w:val="Bold"/>
                <w:lang w:val="pl-PL"/>
              </w:rPr>
              <w:t>Procedury przeglądu zdatności do lotu</w:t>
            </w:r>
          </w:p>
        </w:tc>
      </w:tr>
      <w:tr w:rsidR="000B52F9" w:rsidRPr="00F85C3E" w14:paraId="35B77600" w14:textId="77777777" w:rsidTr="001A3AD9">
        <w:trPr>
          <w:cantSplit/>
          <w:trHeight w:hRule="exact" w:val="340"/>
        </w:trPr>
        <w:tc>
          <w:tcPr>
            <w:tcW w:w="976" w:type="dxa"/>
            <w:shd w:val="clear" w:color="auto" w:fill="auto"/>
            <w:hideMark/>
          </w:tcPr>
          <w:p w14:paraId="131EF29B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4.1</w:t>
            </w:r>
          </w:p>
        </w:tc>
        <w:tc>
          <w:tcPr>
            <w:tcW w:w="442" w:type="dxa"/>
            <w:shd w:val="clear" w:color="auto" w:fill="auto"/>
          </w:tcPr>
          <w:p w14:paraId="254DCD4C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34C99DCC" w14:textId="0F1FC8E6" w:rsidR="000B52F9" w:rsidRPr="00827084" w:rsidRDefault="00D321AF" w:rsidP="00D321AF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Personel przeglądu zdatności do lotu</w:t>
            </w:r>
          </w:p>
        </w:tc>
      </w:tr>
      <w:tr w:rsidR="000B52F9" w:rsidRPr="00F85C3E" w14:paraId="07D45567" w14:textId="77777777" w:rsidTr="001A3AD9">
        <w:trPr>
          <w:cantSplit/>
          <w:trHeight w:hRule="exact" w:val="329"/>
        </w:trPr>
        <w:tc>
          <w:tcPr>
            <w:tcW w:w="976" w:type="dxa"/>
            <w:shd w:val="clear" w:color="auto" w:fill="auto"/>
            <w:hideMark/>
          </w:tcPr>
          <w:p w14:paraId="5A369E23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4.2</w:t>
            </w:r>
          </w:p>
        </w:tc>
        <w:tc>
          <w:tcPr>
            <w:tcW w:w="442" w:type="dxa"/>
            <w:shd w:val="clear" w:color="auto" w:fill="auto"/>
          </w:tcPr>
          <w:p w14:paraId="7C5D9122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C95BF30" w14:textId="2C25A40D" w:rsidR="000B52F9" w:rsidRPr="00827084" w:rsidRDefault="00D321AF" w:rsidP="005331B5">
            <w:pPr>
              <w:pStyle w:val="TableNormal"/>
              <w:rPr>
                <w:lang w:val="pl-PL"/>
              </w:rPr>
            </w:pPr>
            <w:r w:rsidRPr="00827084">
              <w:rPr>
                <w:highlight w:val="cyan"/>
                <w:lang w:val="pl-PL"/>
              </w:rPr>
              <w:t>Ud</w:t>
            </w:r>
            <w:r w:rsidR="000B52F9" w:rsidRPr="00827084">
              <w:rPr>
                <w:highlight w:val="cyan"/>
                <w:lang w:val="pl-PL"/>
              </w:rPr>
              <w:t>o</w:t>
            </w:r>
            <w:r w:rsidRPr="00827084">
              <w:rPr>
                <w:highlight w:val="cyan"/>
                <w:lang w:val="pl-PL"/>
              </w:rPr>
              <w:t>k</w:t>
            </w:r>
            <w:r w:rsidR="000B52F9" w:rsidRPr="00827084">
              <w:rPr>
                <w:highlight w:val="cyan"/>
                <w:lang w:val="pl-PL"/>
              </w:rPr>
              <w:t>ument</w:t>
            </w:r>
            <w:r w:rsidRPr="00827084">
              <w:rPr>
                <w:highlight w:val="cyan"/>
                <w:lang w:val="pl-PL"/>
              </w:rPr>
              <w:t>owany</w:t>
            </w:r>
            <w:r w:rsidR="000B52F9" w:rsidRPr="00827084">
              <w:rPr>
                <w:lang w:val="pl-PL"/>
              </w:rPr>
              <w:t xml:space="preserve"> </w:t>
            </w:r>
            <w:r w:rsidRPr="00827084">
              <w:rPr>
                <w:lang w:val="pl-PL"/>
              </w:rPr>
              <w:t>przegląd dokumentacji statku powietrznego</w:t>
            </w:r>
            <w:r w:rsidR="000B52F9" w:rsidRPr="00827084">
              <w:rPr>
                <w:lang w:val="pl-PL"/>
              </w:rPr>
              <w:t xml:space="preserve"> </w:t>
            </w:r>
          </w:p>
        </w:tc>
      </w:tr>
      <w:tr w:rsidR="000B52F9" w:rsidRPr="00827084" w14:paraId="78EC7919" w14:textId="77777777" w:rsidTr="001A3AD9">
        <w:trPr>
          <w:cantSplit/>
          <w:trHeight w:hRule="exact" w:val="287"/>
        </w:trPr>
        <w:tc>
          <w:tcPr>
            <w:tcW w:w="976" w:type="dxa"/>
            <w:shd w:val="clear" w:color="auto" w:fill="auto"/>
            <w:hideMark/>
          </w:tcPr>
          <w:p w14:paraId="77DD1666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4.3</w:t>
            </w:r>
          </w:p>
        </w:tc>
        <w:tc>
          <w:tcPr>
            <w:tcW w:w="442" w:type="dxa"/>
            <w:shd w:val="clear" w:color="auto" w:fill="auto"/>
          </w:tcPr>
          <w:p w14:paraId="77B139EB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6507D7BE" w14:textId="038AA94B" w:rsidR="000B52F9" w:rsidRPr="00827084" w:rsidRDefault="00D321A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Badanie fizyczne</w:t>
            </w:r>
          </w:p>
        </w:tc>
      </w:tr>
      <w:tr w:rsidR="000B52F9" w:rsidRPr="00F85C3E" w14:paraId="3DEC1C79" w14:textId="77777777" w:rsidTr="001A3AD9">
        <w:trPr>
          <w:cantSplit/>
          <w:trHeight w:val="381"/>
        </w:trPr>
        <w:tc>
          <w:tcPr>
            <w:tcW w:w="976" w:type="dxa"/>
            <w:shd w:val="clear" w:color="auto" w:fill="auto"/>
            <w:hideMark/>
          </w:tcPr>
          <w:p w14:paraId="22EEB58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4.4</w:t>
            </w:r>
          </w:p>
        </w:tc>
        <w:tc>
          <w:tcPr>
            <w:tcW w:w="442" w:type="dxa"/>
            <w:shd w:val="clear" w:color="auto" w:fill="auto"/>
          </w:tcPr>
          <w:p w14:paraId="3AB803FE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407E0755" w14:textId="14F8EABD" w:rsidR="000B52F9" w:rsidRPr="00827084" w:rsidRDefault="00D321A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Dodatkowe procedury dotyczące rekomendowania właściwym organom importu statków powietrznych</w:t>
            </w:r>
          </w:p>
        </w:tc>
      </w:tr>
      <w:tr w:rsidR="000B52F9" w:rsidRPr="00F85C3E" w14:paraId="32B1FA17" w14:textId="77777777" w:rsidTr="001A3AD9">
        <w:trPr>
          <w:cantSplit/>
          <w:trHeight w:val="25"/>
        </w:trPr>
        <w:tc>
          <w:tcPr>
            <w:tcW w:w="976" w:type="dxa"/>
            <w:shd w:val="clear" w:color="auto" w:fill="auto"/>
            <w:hideMark/>
          </w:tcPr>
          <w:p w14:paraId="260D2A92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4.5</w:t>
            </w:r>
          </w:p>
        </w:tc>
        <w:tc>
          <w:tcPr>
            <w:tcW w:w="442" w:type="dxa"/>
            <w:shd w:val="clear" w:color="auto" w:fill="auto"/>
          </w:tcPr>
          <w:p w14:paraId="6226E9F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09EBB601" w14:textId="042DF748" w:rsidR="000B52F9" w:rsidRPr="00827084" w:rsidRDefault="00D321AF" w:rsidP="00D321AF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Rekomendacje </w:t>
            </w:r>
            <w:r w:rsidRPr="00827084">
              <w:rPr>
                <w:strike/>
                <w:lang w:val="pl-PL"/>
              </w:rPr>
              <w:t>do wydania ARC</w:t>
            </w:r>
            <w:r w:rsidRPr="00827084">
              <w:rPr>
                <w:lang w:val="pl-PL"/>
              </w:rPr>
              <w:t xml:space="preserve"> dla właściwych organów </w:t>
            </w:r>
          </w:p>
        </w:tc>
      </w:tr>
      <w:tr w:rsidR="000B52F9" w:rsidRPr="00827084" w14:paraId="7393432A" w14:textId="77777777" w:rsidTr="001A3AD9">
        <w:trPr>
          <w:cantSplit/>
          <w:trHeight w:val="264"/>
        </w:trPr>
        <w:tc>
          <w:tcPr>
            <w:tcW w:w="976" w:type="dxa"/>
            <w:shd w:val="clear" w:color="auto" w:fill="auto"/>
            <w:hideMark/>
          </w:tcPr>
          <w:p w14:paraId="70D400E5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4.6</w:t>
            </w:r>
          </w:p>
        </w:tc>
        <w:tc>
          <w:tcPr>
            <w:tcW w:w="442" w:type="dxa"/>
            <w:shd w:val="clear" w:color="auto" w:fill="auto"/>
          </w:tcPr>
          <w:p w14:paraId="10334868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1A6D70F6" w14:textId="1D3AC6E8" w:rsidR="000B52F9" w:rsidRPr="00827084" w:rsidRDefault="00D321AF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Wydanie </w:t>
            </w:r>
            <w:r w:rsidR="000B52F9" w:rsidRPr="00827084">
              <w:rPr>
                <w:lang w:val="pl-PL"/>
              </w:rPr>
              <w:t>ARC</w:t>
            </w:r>
          </w:p>
        </w:tc>
      </w:tr>
      <w:tr w:rsidR="000B52F9" w:rsidRPr="00F85C3E" w14:paraId="3D66853E" w14:textId="77777777" w:rsidTr="001A3AD9">
        <w:trPr>
          <w:cantSplit/>
          <w:trHeight w:val="241"/>
        </w:trPr>
        <w:tc>
          <w:tcPr>
            <w:tcW w:w="976" w:type="dxa"/>
            <w:shd w:val="clear" w:color="auto" w:fill="auto"/>
            <w:hideMark/>
          </w:tcPr>
          <w:p w14:paraId="73848C21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4.7</w:t>
            </w:r>
          </w:p>
        </w:tc>
        <w:tc>
          <w:tcPr>
            <w:tcW w:w="442" w:type="dxa"/>
            <w:shd w:val="clear" w:color="auto" w:fill="auto"/>
          </w:tcPr>
          <w:p w14:paraId="3F00C127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1AFED60E" w14:textId="703A6C3B" w:rsidR="000B52F9" w:rsidRPr="00827084" w:rsidRDefault="00827084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Dokumentacja przeglądu zdatności do lotu, obowiązki, zachowanie i dostęp</w:t>
            </w:r>
          </w:p>
        </w:tc>
      </w:tr>
      <w:tr w:rsidR="000B52F9" w:rsidRPr="00827084" w14:paraId="462FA310" w14:textId="77777777" w:rsidTr="001A3AD9">
        <w:trPr>
          <w:cantSplit/>
          <w:trHeight w:val="241"/>
        </w:trPr>
        <w:tc>
          <w:tcPr>
            <w:tcW w:w="976" w:type="dxa"/>
            <w:shd w:val="clear" w:color="auto" w:fill="auto"/>
          </w:tcPr>
          <w:p w14:paraId="2112712B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4.8</w:t>
            </w:r>
          </w:p>
        </w:tc>
        <w:tc>
          <w:tcPr>
            <w:tcW w:w="442" w:type="dxa"/>
            <w:shd w:val="clear" w:color="auto" w:fill="auto"/>
          </w:tcPr>
          <w:p w14:paraId="5B8C49B3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</w:tcPr>
          <w:p w14:paraId="2FF43204" w14:textId="2EE3FB59" w:rsidR="000B52F9" w:rsidRPr="00827084" w:rsidRDefault="00827084" w:rsidP="00827084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 xml:space="preserve">Rozszerzenie </w:t>
            </w:r>
            <w:r w:rsidR="000B52F9" w:rsidRPr="00827084">
              <w:rPr>
                <w:highlight w:val="cyan"/>
                <w:lang w:val="pl-PL"/>
              </w:rPr>
              <w:t xml:space="preserve">ARC </w:t>
            </w:r>
          </w:p>
        </w:tc>
      </w:tr>
      <w:tr w:rsidR="000B52F9" w:rsidRPr="00F85C3E" w14:paraId="0EC305AE" w14:textId="77777777" w:rsidTr="001A3AD9">
        <w:trPr>
          <w:cantSplit/>
          <w:trHeight w:val="276"/>
        </w:trPr>
        <w:tc>
          <w:tcPr>
            <w:tcW w:w="976" w:type="dxa"/>
            <w:hideMark/>
          </w:tcPr>
          <w:p w14:paraId="2C8F6DF6" w14:textId="4F5264F7" w:rsidR="000B52F9" w:rsidRPr="00827084" w:rsidRDefault="001A3AD9" w:rsidP="008C6D38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t>Część</w:t>
            </w:r>
            <w:r w:rsidRPr="00827084">
              <w:rPr>
                <w:rStyle w:val="Bold"/>
                <w:lang w:val="pl-PL"/>
              </w:rPr>
              <w:t xml:space="preserve"> </w:t>
            </w:r>
            <w:r w:rsidR="000B52F9" w:rsidRPr="00827084">
              <w:rPr>
                <w:rStyle w:val="Bold"/>
                <w:lang w:val="pl-PL"/>
              </w:rPr>
              <w:t>4B</w:t>
            </w:r>
          </w:p>
        </w:tc>
        <w:tc>
          <w:tcPr>
            <w:tcW w:w="12916" w:type="dxa"/>
            <w:gridSpan w:val="2"/>
            <w:hideMark/>
          </w:tcPr>
          <w:p w14:paraId="157A4558" w14:textId="6CAE571F" w:rsidR="000B52F9" w:rsidRPr="00827084" w:rsidRDefault="00827084" w:rsidP="008C6D38">
            <w:pPr>
              <w:pStyle w:val="TableNormal"/>
              <w:rPr>
                <w:rStyle w:val="Bold"/>
                <w:lang w:val="pl-PL"/>
              </w:rPr>
            </w:pPr>
            <w:r w:rsidRPr="00827084">
              <w:rPr>
                <w:rStyle w:val="Bold"/>
                <w:lang w:val="pl-PL"/>
              </w:rPr>
              <w:t>Procedury wydawania pozwolenia na lot</w:t>
            </w:r>
            <w:r w:rsidR="00D321AF" w:rsidRPr="00827084">
              <w:rPr>
                <w:rStyle w:val="Bold"/>
                <w:lang w:val="pl-PL"/>
              </w:rPr>
              <w:t xml:space="preserve"> </w:t>
            </w:r>
          </w:p>
        </w:tc>
      </w:tr>
      <w:tr w:rsidR="000B52F9" w:rsidRPr="00F85C3E" w14:paraId="09993CA4" w14:textId="77777777" w:rsidTr="001A3AD9">
        <w:trPr>
          <w:cantSplit/>
          <w:trHeight w:val="192"/>
        </w:trPr>
        <w:tc>
          <w:tcPr>
            <w:tcW w:w="976" w:type="dxa"/>
            <w:shd w:val="clear" w:color="auto" w:fill="auto"/>
            <w:hideMark/>
          </w:tcPr>
          <w:p w14:paraId="6ABDAD57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4B.1 </w:t>
            </w:r>
          </w:p>
        </w:tc>
        <w:tc>
          <w:tcPr>
            <w:tcW w:w="442" w:type="dxa"/>
            <w:shd w:val="clear" w:color="auto" w:fill="auto"/>
          </w:tcPr>
          <w:p w14:paraId="09AFC73D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377B2077" w14:textId="0DB164B2" w:rsidR="000B52F9" w:rsidRPr="00827084" w:rsidRDefault="00827084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Zgodność z zatwierdzonymi warunkami lotu</w:t>
            </w:r>
          </w:p>
        </w:tc>
      </w:tr>
      <w:tr w:rsidR="000B52F9" w:rsidRPr="00F85C3E" w14:paraId="61FF25C5" w14:textId="77777777" w:rsidTr="001A3AD9">
        <w:trPr>
          <w:cantSplit/>
          <w:trHeight w:val="196"/>
        </w:trPr>
        <w:tc>
          <w:tcPr>
            <w:tcW w:w="976" w:type="dxa"/>
            <w:shd w:val="clear" w:color="auto" w:fill="auto"/>
            <w:hideMark/>
          </w:tcPr>
          <w:p w14:paraId="56B81706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4B.2 </w:t>
            </w:r>
          </w:p>
        </w:tc>
        <w:tc>
          <w:tcPr>
            <w:tcW w:w="442" w:type="dxa"/>
            <w:shd w:val="clear" w:color="auto" w:fill="auto"/>
          </w:tcPr>
          <w:p w14:paraId="6F582AE7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472C513" w14:textId="62A3D1A8" w:rsidR="000B52F9" w:rsidRPr="00827084" w:rsidRDefault="00827084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Wystawienie pozwolenia na lot w oparciu o uprawnienie CAMO</w:t>
            </w:r>
          </w:p>
        </w:tc>
      </w:tr>
      <w:tr w:rsidR="000B52F9" w:rsidRPr="00F85C3E" w14:paraId="216B8B38" w14:textId="77777777" w:rsidTr="001A3AD9">
        <w:trPr>
          <w:cantSplit/>
          <w:trHeight w:val="186"/>
        </w:trPr>
        <w:tc>
          <w:tcPr>
            <w:tcW w:w="976" w:type="dxa"/>
            <w:shd w:val="clear" w:color="auto" w:fill="auto"/>
            <w:hideMark/>
          </w:tcPr>
          <w:p w14:paraId="1458D56E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4B.3 </w:t>
            </w:r>
          </w:p>
        </w:tc>
        <w:tc>
          <w:tcPr>
            <w:tcW w:w="442" w:type="dxa"/>
            <w:shd w:val="clear" w:color="auto" w:fill="auto"/>
          </w:tcPr>
          <w:p w14:paraId="2F008ECA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4372AD34" w14:textId="32E0C36B" w:rsidR="000B52F9" w:rsidRPr="00827084" w:rsidRDefault="00827084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Upoważnieni sygnatariusze pozwolenia na lot</w:t>
            </w:r>
          </w:p>
        </w:tc>
      </w:tr>
      <w:tr w:rsidR="000B52F9" w:rsidRPr="00F85C3E" w14:paraId="6EA39FC8" w14:textId="77777777" w:rsidTr="001A3AD9">
        <w:trPr>
          <w:cantSplit/>
          <w:trHeight w:val="191"/>
        </w:trPr>
        <w:tc>
          <w:tcPr>
            <w:tcW w:w="976" w:type="dxa"/>
            <w:shd w:val="clear" w:color="auto" w:fill="auto"/>
            <w:hideMark/>
          </w:tcPr>
          <w:p w14:paraId="35C8A954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4B.4 </w:t>
            </w:r>
          </w:p>
        </w:tc>
        <w:tc>
          <w:tcPr>
            <w:tcW w:w="442" w:type="dxa"/>
            <w:shd w:val="clear" w:color="auto" w:fill="auto"/>
          </w:tcPr>
          <w:p w14:paraId="6E14C804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E4A2CC0" w14:textId="73429B42" w:rsidR="000B52F9" w:rsidRPr="00827084" w:rsidRDefault="00827084" w:rsidP="00506CE3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Współpraca z lokalnymi władzami w zakresie lotu </w:t>
            </w:r>
          </w:p>
        </w:tc>
      </w:tr>
      <w:tr w:rsidR="000B52F9" w:rsidRPr="00F85C3E" w14:paraId="7D9C066B" w14:textId="77777777" w:rsidTr="001A3AD9">
        <w:trPr>
          <w:cantSplit/>
          <w:trHeight w:val="180"/>
        </w:trPr>
        <w:tc>
          <w:tcPr>
            <w:tcW w:w="976" w:type="dxa"/>
            <w:shd w:val="clear" w:color="auto" w:fill="auto"/>
            <w:hideMark/>
          </w:tcPr>
          <w:p w14:paraId="1635BA4A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4B.5 </w:t>
            </w:r>
          </w:p>
        </w:tc>
        <w:tc>
          <w:tcPr>
            <w:tcW w:w="442" w:type="dxa"/>
            <w:shd w:val="clear" w:color="auto" w:fill="auto"/>
          </w:tcPr>
          <w:p w14:paraId="26385B76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5B1988A5" w14:textId="417E4E87" w:rsidR="000B52F9" w:rsidRPr="00827084" w:rsidRDefault="00827084" w:rsidP="00506CE3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Dokumentacja pozwoleń na lot, obowiązk</w:t>
            </w:r>
            <w:r w:rsidR="00506CE3">
              <w:rPr>
                <w:lang w:val="pl-PL"/>
              </w:rPr>
              <w:t>i</w:t>
            </w:r>
            <w:r w:rsidRPr="00827084">
              <w:rPr>
                <w:lang w:val="pl-PL"/>
              </w:rPr>
              <w:t>, przechowywanie i dostęp</w:t>
            </w:r>
          </w:p>
        </w:tc>
      </w:tr>
      <w:tr w:rsidR="000B52F9" w:rsidRPr="00827084" w14:paraId="6119E34C" w14:textId="77777777" w:rsidTr="001A3AD9">
        <w:trPr>
          <w:cantSplit/>
          <w:trHeight w:val="276"/>
        </w:trPr>
        <w:tc>
          <w:tcPr>
            <w:tcW w:w="976" w:type="dxa"/>
            <w:hideMark/>
          </w:tcPr>
          <w:p w14:paraId="65AF26F6" w14:textId="53DCD9DC" w:rsidR="000B52F9" w:rsidRPr="00827084" w:rsidRDefault="001A3AD9" w:rsidP="008C6D38">
            <w:pPr>
              <w:pStyle w:val="TableNormal"/>
              <w:rPr>
                <w:rStyle w:val="Bold"/>
                <w:lang w:val="pl-PL"/>
              </w:rPr>
            </w:pPr>
            <w:r>
              <w:rPr>
                <w:rStyle w:val="Bold"/>
                <w:lang w:val="pl-PL"/>
              </w:rPr>
              <w:lastRenderedPageBreak/>
              <w:t>Część</w:t>
            </w:r>
            <w:r w:rsidRPr="00827084">
              <w:rPr>
                <w:rStyle w:val="Bold"/>
                <w:lang w:val="pl-PL"/>
              </w:rPr>
              <w:t xml:space="preserve"> </w:t>
            </w:r>
            <w:r w:rsidR="000B52F9" w:rsidRPr="00827084">
              <w:rPr>
                <w:rStyle w:val="Bold"/>
                <w:lang w:val="pl-PL"/>
              </w:rPr>
              <w:t>5</w:t>
            </w:r>
          </w:p>
        </w:tc>
        <w:tc>
          <w:tcPr>
            <w:tcW w:w="12916" w:type="dxa"/>
            <w:gridSpan w:val="2"/>
            <w:hideMark/>
          </w:tcPr>
          <w:p w14:paraId="0B76A162" w14:textId="646D8E7C" w:rsidR="000B52F9" w:rsidRPr="00827084" w:rsidRDefault="00827084" w:rsidP="00827084">
            <w:pPr>
              <w:pStyle w:val="TableNormal"/>
              <w:rPr>
                <w:rStyle w:val="Bold"/>
                <w:lang w:val="pl-PL"/>
              </w:rPr>
            </w:pPr>
            <w:r w:rsidRPr="00827084">
              <w:rPr>
                <w:rStyle w:val="Bold"/>
                <w:strike/>
                <w:highlight w:val="cyan"/>
                <w:lang w:val="pl-PL"/>
              </w:rPr>
              <w:t>Dodatki</w:t>
            </w:r>
            <w:r w:rsidR="000B52F9" w:rsidRPr="00827084">
              <w:rPr>
                <w:highlight w:val="cyan"/>
                <w:lang w:val="pl-PL"/>
              </w:rPr>
              <w:t xml:space="preserve"> </w:t>
            </w:r>
            <w:r w:rsidRPr="00827084">
              <w:rPr>
                <w:rStyle w:val="Bold"/>
                <w:highlight w:val="cyan"/>
                <w:lang w:val="pl-PL"/>
              </w:rPr>
              <w:t>Dokumentacja wspomagająca</w:t>
            </w:r>
          </w:p>
        </w:tc>
      </w:tr>
      <w:tr w:rsidR="000B52F9" w:rsidRPr="00F85C3E" w14:paraId="592077E4" w14:textId="77777777" w:rsidTr="001A3AD9">
        <w:trPr>
          <w:cantSplit/>
          <w:trHeight w:val="262"/>
        </w:trPr>
        <w:tc>
          <w:tcPr>
            <w:tcW w:w="976" w:type="dxa"/>
            <w:shd w:val="clear" w:color="auto" w:fill="auto"/>
            <w:hideMark/>
          </w:tcPr>
          <w:p w14:paraId="3931CB61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5.1 </w:t>
            </w:r>
          </w:p>
        </w:tc>
        <w:tc>
          <w:tcPr>
            <w:tcW w:w="442" w:type="dxa"/>
            <w:shd w:val="clear" w:color="auto" w:fill="auto"/>
          </w:tcPr>
          <w:p w14:paraId="465409E0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10BB4B6" w14:textId="4C430375" w:rsidR="000B52F9" w:rsidRPr="00827084" w:rsidRDefault="00827084" w:rsidP="00827084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Wzory dokumentów</w:t>
            </w:r>
            <w:r w:rsidR="000B52F9" w:rsidRPr="00827084">
              <w:rPr>
                <w:highlight w:val="cyan"/>
                <w:lang w:val="pl-PL"/>
              </w:rPr>
              <w:t xml:space="preserve">, </w:t>
            </w:r>
            <w:r w:rsidRPr="00827084">
              <w:rPr>
                <w:highlight w:val="cyan"/>
                <w:lang w:val="pl-PL"/>
              </w:rPr>
              <w:t>w tym szablon systemu ATL</w:t>
            </w:r>
          </w:p>
        </w:tc>
      </w:tr>
      <w:tr w:rsidR="000B52F9" w:rsidRPr="00F85C3E" w14:paraId="3EF02A4F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hideMark/>
          </w:tcPr>
          <w:p w14:paraId="4DA4547F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5.2 </w:t>
            </w:r>
          </w:p>
        </w:tc>
        <w:tc>
          <w:tcPr>
            <w:tcW w:w="442" w:type="dxa"/>
            <w:shd w:val="clear" w:color="auto" w:fill="auto"/>
          </w:tcPr>
          <w:p w14:paraId="344A70D7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26D7C6BE" w14:textId="77CC1148" w:rsidR="000B52F9" w:rsidRPr="00827084" w:rsidRDefault="00827084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Wykaz personelu przeglądu zdatności do lotu</w:t>
            </w:r>
          </w:p>
        </w:tc>
      </w:tr>
      <w:tr w:rsidR="000B52F9" w:rsidRPr="00F85C3E" w14:paraId="2394F40F" w14:textId="77777777" w:rsidTr="001A3AD9">
        <w:trPr>
          <w:cantSplit/>
          <w:trHeight w:val="262"/>
        </w:trPr>
        <w:tc>
          <w:tcPr>
            <w:tcW w:w="976" w:type="dxa"/>
            <w:shd w:val="clear" w:color="auto" w:fill="auto"/>
            <w:hideMark/>
          </w:tcPr>
          <w:p w14:paraId="1E93F6E3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5.3 </w:t>
            </w:r>
          </w:p>
        </w:tc>
        <w:tc>
          <w:tcPr>
            <w:tcW w:w="442" w:type="dxa"/>
            <w:shd w:val="clear" w:color="auto" w:fill="auto"/>
          </w:tcPr>
          <w:p w14:paraId="2D73224E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34F7DAE3" w14:textId="5305E125" w:rsidR="000B52F9" w:rsidRPr="00827084" w:rsidRDefault="00827084" w:rsidP="00BD1805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Wykaz podwykonawców zgodnie z </w:t>
            </w:r>
            <w:r w:rsidR="000B52F9" w:rsidRPr="00827084">
              <w:rPr>
                <w:strike/>
                <w:lang w:val="pl-PL"/>
              </w:rPr>
              <w:t>M.A.711(a)(3)</w:t>
            </w:r>
            <w:r w:rsidR="00BD1805" w:rsidRPr="00827084">
              <w:rPr>
                <w:lang w:val="pl-PL"/>
              </w:rPr>
              <w:t xml:space="preserve"> </w:t>
            </w:r>
            <w:r w:rsidR="00BD1805" w:rsidRPr="00827084">
              <w:rPr>
                <w:highlight w:val="cyan"/>
                <w:lang w:val="pl-PL"/>
              </w:rPr>
              <w:t>CAMO.A.125(d)(3)</w:t>
            </w:r>
          </w:p>
        </w:tc>
      </w:tr>
      <w:tr w:rsidR="000B52F9" w:rsidRPr="00F85C3E" w14:paraId="6478D644" w14:textId="77777777" w:rsidTr="001A3AD9">
        <w:trPr>
          <w:cantSplit/>
          <w:trHeight w:val="276"/>
        </w:trPr>
        <w:tc>
          <w:tcPr>
            <w:tcW w:w="976" w:type="dxa"/>
            <w:shd w:val="clear" w:color="auto" w:fill="auto"/>
            <w:hideMark/>
          </w:tcPr>
          <w:p w14:paraId="2463A2C4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5.4 </w:t>
            </w:r>
          </w:p>
        </w:tc>
        <w:tc>
          <w:tcPr>
            <w:tcW w:w="442" w:type="dxa"/>
            <w:shd w:val="clear" w:color="auto" w:fill="auto"/>
          </w:tcPr>
          <w:p w14:paraId="1D67FF57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39BB60AE" w14:textId="5136BAF4" w:rsidR="000B52F9" w:rsidRPr="00827084" w:rsidRDefault="00827084" w:rsidP="00827084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Wykaz zakontraktowanych </w:t>
            </w:r>
            <w:r w:rsidRPr="00827084">
              <w:rPr>
                <w:strike/>
                <w:lang w:val="pl-PL"/>
              </w:rPr>
              <w:t>zatwierdzonych</w:t>
            </w:r>
            <w:r w:rsidRPr="00827084">
              <w:rPr>
                <w:lang w:val="pl-PL"/>
              </w:rPr>
              <w:t xml:space="preserve"> organizacji obsługi </w:t>
            </w:r>
            <w:r w:rsidRPr="00827084">
              <w:rPr>
                <w:highlight w:val="cyan"/>
                <w:lang w:val="pl-PL"/>
              </w:rPr>
              <w:t xml:space="preserve">oraz wykaz umów obsługowych zgodnie z </w:t>
            </w:r>
            <w:r w:rsidR="000B52F9" w:rsidRPr="00827084">
              <w:rPr>
                <w:highlight w:val="cyan"/>
                <w:lang w:val="pl-PL"/>
              </w:rPr>
              <w:t xml:space="preserve"> CAMO.A.300(a)(13)</w:t>
            </w:r>
          </w:p>
        </w:tc>
      </w:tr>
      <w:tr w:rsidR="000B52F9" w:rsidRPr="00F85C3E" w14:paraId="50DB6BB2" w14:textId="77777777" w:rsidTr="001A3AD9">
        <w:trPr>
          <w:cantSplit/>
          <w:trHeight w:val="290"/>
        </w:trPr>
        <w:tc>
          <w:tcPr>
            <w:tcW w:w="976" w:type="dxa"/>
            <w:shd w:val="clear" w:color="auto" w:fill="auto"/>
            <w:hideMark/>
          </w:tcPr>
          <w:p w14:paraId="0AC0CD7E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5.5 </w:t>
            </w:r>
          </w:p>
        </w:tc>
        <w:tc>
          <w:tcPr>
            <w:tcW w:w="442" w:type="dxa"/>
            <w:shd w:val="clear" w:color="auto" w:fill="auto"/>
          </w:tcPr>
          <w:p w14:paraId="219805A2" w14:textId="77777777" w:rsidR="000B52F9" w:rsidRPr="00827084" w:rsidRDefault="000B52F9" w:rsidP="008C6D38">
            <w:pPr>
              <w:pStyle w:val="TableNormal"/>
              <w:rPr>
                <w:lang w:val="pl-PL"/>
              </w:rPr>
            </w:pPr>
          </w:p>
        </w:tc>
        <w:tc>
          <w:tcPr>
            <w:tcW w:w="12474" w:type="dxa"/>
            <w:shd w:val="clear" w:color="auto" w:fill="auto"/>
            <w:hideMark/>
          </w:tcPr>
          <w:p w14:paraId="601CEDCB" w14:textId="08B7E7DB" w:rsidR="000B52F9" w:rsidRPr="00827084" w:rsidRDefault="00827084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 xml:space="preserve">Kopia umów dla zakontraktowanej pracy (Dodatek II do </w:t>
            </w:r>
            <w:r w:rsidR="000B52F9" w:rsidRPr="00827084">
              <w:rPr>
                <w:highlight w:val="cyan"/>
                <w:lang w:val="pl-PL"/>
              </w:rPr>
              <w:t>AMC1 CAMO.A.125(d)(3)</w:t>
            </w:r>
            <w:r w:rsidR="000B52F9" w:rsidRPr="00827084">
              <w:rPr>
                <w:lang w:val="pl-PL"/>
              </w:rPr>
              <w:t xml:space="preserve"> </w:t>
            </w:r>
            <w:r w:rsidR="000B52F9" w:rsidRPr="00827084">
              <w:rPr>
                <w:strike/>
                <w:lang w:val="pl-PL"/>
              </w:rPr>
              <w:t>AMC M.A.711(a)(3)</w:t>
            </w:r>
            <w:r w:rsidR="000B52F9" w:rsidRPr="00827084">
              <w:rPr>
                <w:lang w:val="pl-PL"/>
              </w:rPr>
              <w:t>)</w:t>
            </w:r>
          </w:p>
        </w:tc>
      </w:tr>
      <w:tr w:rsidR="000B52F9" w:rsidRPr="00F85C3E" w14:paraId="1C2E1ABC" w14:textId="77777777" w:rsidTr="001A3AD9">
        <w:trPr>
          <w:cantSplit/>
          <w:trHeight w:val="290"/>
        </w:trPr>
        <w:tc>
          <w:tcPr>
            <w:tcW w:w="976" w:type="dxa"/>
            <w:shd w:val="clear" w:color="auto" w:fill="auto"/>
          </w:tcPr>
          <w:p w14:paraId="0CBF7B89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5.6</w:t>
            </w:r>
          </w:p>
        </w:tc>
        <w:tc>
          <w:tcPr>
            <w:tcW w:w="442" w:type="dxa"/>
            <w:shd w:val="clear" w:color="auto" w:fill="auto"/>
          </w:tcPr>
          <w:p w14:paraId="28F2F184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</w:tcPr>
          <w:p w14:paraId="0B281804" w14:textId="04FB9310" w:rsidR="000B52F9" w:rsidRPr="00827084" w:rsidRDefault="00827084" w:rsidP="00827084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 xml:space="preserve">Wykaz zakontraktowanych zatwierdzonych organizacji obsługi zgodnie z </w:t>
            </w:r>
            <w:r w:rsidR="000B52F9" w:rsidRPr="00827084">
              <w:rPr>
                <w:highlight w:val="cyan"/>
                <w:lang w:val="pl-PL"/>
              </w:rPr>
              <w:t>AMO.A.300(a)(12)</w:t>
            </w:r>
          </w:p>
        </w:tc>
      </w:tr>
      <w:tr w:rsidR="000B52F9" w:rsidRPr="00F85C3E" w14:paraId="1376E762" w14:textId="77777777" w:rsidTr="001A3AD9">
        <w:trPr>
          <w:cantSplit/>
          <w:trHeight w:val="290"/>
        </w:trPr>
        <w:tc>
          <w:tcPr>
            <w:tcW w:w="976" w:type="dxa"/>
            <w:shd w:val="clear" w:color="auto" w:fill="auto"/>
          </w:tcPr>
          <w:p w14:paraId="2FC46A80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  <w:r w:rsidRPr="00827084">
              <w:rPr>
                <w:highlight w:val="cyan"/>
                <w:lang w:val="pl-PL"/>
              </w:rPr>
              <w:t>5.7</w:t>
            </w:r>
          </w:p>
        </w:tc>
        <w:tc>
          <w:tcPr>
            <w:tcW w:w="442" w:type="dxa"/>
            <w:shd w:val="clear" w:color="auto" w:fill="auto"/>
          </w:tcPr>
          <w:p w14:paraId="1D367FED" w14:textId="77777777" w:rsidR="000B52F9" w:rsidRPr="00827084" w:rsidRDefault="000B52F9" w:rsidP="008C6D38">
            <w:pPr>
              <w:pStyle w:val="TableNormal"/>
              <w:rPr>
                <w:highlight w:val="cyan"/>
                <w:lang w:val="pl-PL"/>
              </w:rPr>
            </w:pPr>
          </w:p>
        </w:tc>
        <w:tc>
          <w:tcPr>
            <w:tcW w:w="12474" w:type="dxa"/>
            <w:shd w:val="clear" w:color="auto" w:fill="auto"/>
          </w:tcPr>
          <w:p w14:paraId="4ED66F41" w14:textId="69E5E669" w:rsidR="000B52F9" w:rsidRPr="00827084" w:rsidRDefault="00827084" w:rsidP="008C6D38">
            <w:pPr>
              <w:pStyle w:val="TableNormal"/>
              <w:rPr>
                <w:lang w:val="pl-PL"/>
              </w:rPr>
            </w:pPr>
            <w:r w:rsidRPr="00827084">
              <w:rPr>
                <w:lang w:val="pl-PL"/>
              </w:rPr>
              <w:t>Wykaz obecnie zatwierdzonych alternatywnych sposobów spełnienia wymagań zgodnie z</w:t>
            </w:r>
            <w:r w:rsidRPr="00827084">
              <w:rPr>
                <w:highlight w:val="cyan"/>
                <w:lang w:val="pl-PL"/>
              </w:rPr>
              <w:t xml:space="preserve"> </w:t>
            </w:r>
            <w:r w:rsidR="000B52F9" w:rsidRPr="00827084">
              <w:rPr>
                <w:highlight w:val="cyan"/>
                <w:lang w:val="pl-PL"/>
              </w:rPr>
              <w:t>CAMO.A.300(a)(13)</w:t>
            </w:r>
          </w:p>
        </w:tc>
      </w:tr>
    </w:tbl>
    <w:p w14:paraId="5D49127C" w14:textId="77777777" w:rsidR="000F1DE0" w:rsidRPr="00827084" w:rsidRDefault="000F1DE0" w:rsidP="001A3AD9">
      <w:pPr>
        <w:rPr>
          <w:rFonts w:cstheme="minorHAnsi"/>
          <w:sz w:val="20"/>
          <w:szCs w:val="20"/>
          <w:lang w:val="pl-PL"/>
        </w:rPr>
      </w:pPr>
    </w:p>
    <w:sectPr w:rsidR="000F1DE0" w:rsidRPr="00827084" w:rsidSect="00EB5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7BF1" w14:textId="77777777" w:rsidR="0026227D" w:rsidRDefault="0026227D" w:rsidP="00B714EE">
      <w:pPr>
        <w:spacing w:after="0" w:line="240" w:lineRule="auto"/>
      </w:pPr>
      <w:r>
        <w:separator/>
      </w:r>
    </w:p>
  </w:endnote>
  <w:endnote w:type="continuationSeparator" w:id="0">
    <w:p w14:paraId="038265A3" w14:textId="77777777" w:rsidR="0026227D" w:rsidRDefault="0026227D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1C54" w14:textId="77777777" w:rsidR="001A3AD9" w:rsidRDefault="001A3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62F578A5" w:rsidR="0074568B" w:rsidRPr="00B714EE" w:rsidRDefault="0074568B" w:rsidP="00B714EE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1A3AD9">
      <w:rPr>
        <w:noProof/>
        <w:sz w:val="16"/>
        <w:lang w:val="fr-BE"/>
      </w:rPr>
      <w:t>3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1A3AD9">
      <w:rPr>
        <w:rFonts w:cstheme="minorHAnsi"/>
        <w:noProof/>
        <w:sz w:val="16"/>
        <w:szCs w:val="20"/>
      </w:rPr>
      <w:t>3</w:t>
    </w:r>
    <w:r w:rsidRPr="00B714EE">
      <w:rPr>
        <w:rFonts w:cstheme="minorHAnsi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4D46" w14:textId="7211106F" w:rsidR="001A3AD9" w:rsidRPr="00B714EE" w:rsidRDefault="001A3AD9" w:rsidP="001A3AD9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>
      <w:rPr>
        <w:noProof/>
        <w:sz w:val="16"/>
        <w:lang w:val="fr-BE"/>
      </w:rPr>
      <w:t>1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>
      <w:rPr>
        <w:rFonts w:cstheme="minorHAnsi"/>
        <w:noProof/>
        <w:sz w:val="16"/>
        <w:szCs w:val="20"/>
      </w:rPr>
      <w:t>3</w:t>
    </w:r>
    <w:r w:rsidRPr="00B714EE">
      <w:rPr>
        <w:rFonts w:cstheme="minorHAnsi"/>
        <w:sz w:val="16"/>
        <w:szCs w:val="20"/>
      </w:rPr>
      <w:fldChar w:fldCharType="end"/>
    </w:r>
  </w:p>
  <w:p w14:paraId="608FA50C" w14:textId="77777777" w:rsidR="001A3AD9" w:rsidRDefault="001A3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F741" w14:textId="77777777" w:rsidR="0026227D" w:rsidRDefault="0026227D" w:rsidP="00B714EE">
      <w:pPr>
        <w:spacing w:after="0" w:line="240" w:lineRule="auto"/>
      </w:pPr>
      <w:r>
        <w:separator/>
      </w:r>
    </w:p>
  </w:footnote>
  <w:footnote w:type="continuationSeparator" w:id="0">
    <w:p w14:paraId="581D9102" w14:textId="77777777" w:rsidR="0026227D" w:rsidRDefault="0026227D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3901" w14:textId="77777777" w:rsidR="001A3AD9" w:rsidRDefault="001A3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2524" w14:textId="113FD0E4" w:rsidR="0074568B" w:rsidRPr="001A3AD9" w:rsidRDefault="001A3AD9" w:rsidP="001A3AD9">
    <w:pPr>
      <w:pStyle w:val="Nagwek"/>
      <w:spacing w:after="120"/>
      <w:rPr>
        <w:b/>
        <w:color w:val="2E74B5" w:themeColor="accent1" w:themeShade="BF"/>
      </w:rPr>
    </w:pPr>
    <w:r w:rsidRPr="001A3AD9">
      <w:rPr>
        <w:b/>
        <w:color w:val="2E74B5" w:themeColor="accent1" w:themeShade="BF"/>
        <w:lang w:val="pl-PL"/>
      </w:rPr>
      <w:t>Zmiana CAME z Part-MG do Part-CAMO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4CD" w14:textId="5DD48D3D" w:rsidR="0074568B" w:rsidRPr="001A3AD9" w:rsidRDefault="001A3AD9" w:rsidP="001A3AD9">
    <w:pPr>
      <w:pStyle w:val="Nagwek"/>
      <w:spacing w:after="120"/>
      <w:rPr>
        <w:b/>
        <w:color w:val="2E74B5" w:themeColor="accent1" w:themeShade="BF"/>
      </w:rPr>
    </w:pPr>
    <w:bookmarkStart w:id="0" w:name="_GoBack"/>
    <w:r w:rsidRPr="001A3AD9">
      <w:rPr>
        <w:b/>
        <w:color w:val="2E74B5" w:themeColor="accent1" w:themeShade="BF"/>
        <w:lang w:val="pl-PL"/>
      </w:rPr>
      <w:t>Zmiana CAME z Part-MG do Part-CAMO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16680"/>
    <w:rsid w:val="0002417E"/>
    <w:rsid w:val="00025677"/>
    <w:rsid w:val="00026E23"/>
    <w:rsid w:val="000304B9"/>
    <w:rsid w:val="00032DAE"/>
    <w:rsid w:val="000345F5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5515D"/>
    <w:rsid w:val="00155610"/>
    <w:rsid w:val="00156551"/>
    <w:rsid w:val="00156A9A"/>
    <w:rsid w:val="00156B07"/>
    <w:rsid w:val="001574A5"/>
    <w:rsid w:val="00160BFD"/>
    <w:rsid w:val="00166B78"/>
    <w:rsid w:val="00170FF0"/>
    <w:rsid w:val="001721E2"/>
    <w:rsid w:val="0017541E"/>
    <w:rsid w:val="001842D2"/>
    <w:rsid w:val="0019118C"/>
    <w:rsid w:val="0019387E"/>
    <w:rsid w:val="0019499B"/>
    <w:rsid w:val="001A3AD9"/>
    <w:rsid w:val="001B010A"/>
    <w:rsid w:val="001B1936"/>
    <w:rsid w:val="001B3D4E"/>
    <w:rsid w:val="001B73C7"/>
    <w:rsid w:val="001C7F2E"/>
    <w:rsid w:val="001D6F7F"/>
    <w:rsid w:val="001D7177"/>
    <w:rsid w:val="001E5721"/>
    <w:rsid w:val="001F5940"/>
    <w:rsid w:val="001F6DA2"/>
    <w:rsid w:val="00220EE0"/>
    <w:rsid w:val="00221B2B"/>
    <w:rsid w:val="0022266A"/>
    <w:rsid w:val="002233A6"/>
    <w:rsid w:val="002238B7"/>
    <w:rsid w:val="00227F9D"/>
    <w:rsid w:val="00232191"/>
    <w:rsid w:val="00234A3B"/>
    <w:rsid w:val="00236810"/>
    <w:rsid w:val="00244124"/>
    <w:rsid w:val="00247CB1"/>
    <w:rsid w:val="00247EB5"/>
    <w:rsid w:val="00251F0B"/>
    <w:rsid w:val="00253639"/>
    <w:rsid w:val="00256312"/>
    <w:rsid w:val="00261934"/>
    <w:rsid w:val="0026227D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B161C"/>
    <w:rsid w:val="002B19D9"/>
    <w:rsid w:val="002B1A8E"/>
    <w:rsid w:val="002B1E74"/>
    <w:rsid w:val="002B2E80"/>
    <w:rsid w:val="002C63BE"/>
    <w:rsid w:val="002C7541"/>
    <w:rsid w:val="002D0B98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12620"/>
    <w:rsid w:val="0031499F"/>
    <w:rsid w:val="00327077"/>
    <w:rsid w:val="003308BC"/>
    <w:rsid w:val="00335501"/>
    <w:rsid w:val="0034012A"/>
    <w:rsid w:val="0034260A"/>
    <w:rsid w:val="0034673B"/>
    <w:rsid w:val="00350EAF"/>
    <w:rsid w:val="00355ABC"/>
    <w:rsid w:val="00363F6A"/>
    <w:rsid w:val="00367AC7"/>
    <w:rsid w:val="00367FEF"/>
    <w:rsid w:val="00370962"/>
    <w:rsid w:val="00380DF4"/>
    <w:rsid w:val="00382134"/>
    <w:rsid w:val="00383852"/>
    <w:rsid w:val="003905D1"/>
    <w:rsid w:val="00390DD0"/>
    <w:rsid w:val="00392DE2"/>
    <w:rsid w:val="003A7EEB"/>
    <w:rsid w:val="003B2DAE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7004"/>
    <w:rsid w:val="00463B5D"/>
    <w:rsid w:val="004723F1"/>
    <w:rsid w:val="00472FB1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C10E7"/>
    <w:rsid w:val="005C162D"/>
    <w:rsid w:val="005C2417"/>
    <w:rsid w:val="005C3331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266D2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B6F"/>
    <w:rsid w:val="00690438"/>
    <w:rsid w:val="00691F35"/>
    <w:rsid w:val="0069452A"/>
    <w:rsid w:val="006A1F5B"/>
    <w:rsid w:val="006B076A"/>
    <w:rsid w:val="006B31F0"/>
    <w:rsid w:val="006C38F9"/>
    <w:rsid w:val="006C402C"/>
    <w:rsid w:val="006C4702"/>
    <w:rsid w:val="006C53B4"/>
    <w:rsid w:val="006C6394"/>
    <w:rsid w:val="006E0C46"/>
    <w:rsid w:val="006E46B7"/>
    <w:rsid w:val="006E5AC0"/>
    <w:rsid w:val="006E76D7"/>
    <w:rsid w:val="006E7C9B"/>
    <w:rsid w:val="006F1899"/>
    <w:rsid w:val="006F35D4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39D3"/>
    <w:rsid w:val="007358EB"/>
    <w:rsid w:val="0074021B"/>
    <w:rsid w:val="007412F7"/>
    <w:rsid w:val="00742771"/>
    <w:rsid w:val="00742872"/>
    <w:rsid w:val="007451B3"/>
    <w:rsid w:val="0074568B"/>
    <w:rsid w:val="00751E51"/>
    <w:rsid w:val="00752741"/>
    <w:rsid w:val="00757753"/>
    <w:rsid w:val="00762E03"/>
    <w:rsid w:val="007631ED"/>
    <w:rsid w:val="0076385A"/>
    <w:rsid w:val="00763B7C"/>
    <w:rsid w:val="00765590"/>
    <w:rsid w:val="00774AE2"/>
    <w:rsid w:val="007764D4"/>
    <w:rsid w:val="0077754F"/>
    <w:rsid w:val="00777EB6"/>
    <w:rsid w:val="0078157D"/>
    <w:rsid w:val="0078542E"/>
    <w:rsid w:val="0079242A"/>
    <w:rsid w:val="00796C0A"/>
    <w:rsid w:val="007A127D"/>
    <w:rsid w:val="007A60DE"/>
    <w:rsid w:val="007A649B"/>
    <w:rsid w:val="007C1F9F"/>
    <w:rsid w:val="007C52F2"/>
    <w:rsid w:val="007D1897"/>
    <w:rsid w:val="007D70BB"/>
    <w:rsid w:val="007E0472"/>
    <w:rsid w:val="007E33C0"/>
    <w:rsid w:val="007E7108"/>
    <w:rsid w:val="007F1451"/>
    <w:rsid w:val="007F2839"/>
    <w:rsid w:val="007F54E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65DB"/>
    <w:rsid w:val="00860F0E"/>
    <w:rsid w:val="0086205B"/>
    <w:rsid w:val="00866ABE"/>
    <w:rsid w:val="00867F37"/>
    <w:rsid w:val="00872844"/>
    <w:rsid w:val="00876D5A"/>
    <w:rsid w:val="00884FDE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4A57"/>
    <w:rsid w:val="009D50D9"/>
    <w:rsid w:val="009D76C2"/>
    <w:rsid w:val="009F226F"/>
    <w:rsid w:val="009F26AD"/>
    <w:rsid w:val="009F4A09"/>
    <w:rsid w:val="009F4CCF"/>
    <w:rsid w:val="009F6C56"/>
    <w:rsid w:val="00A0691F"/>
    <w:rsid w:val="00A10E3D"/>
    <w:rsid w:val="00A117F7"/>
    <w:rsid w:val="00A2033E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1AB5"/>
    <w:rsid w:val="00A93A8B"/>
    <w:rsid w:val="00AA0461"/>
    <w:rsid w:val="00AA39A2"/>
    <w:rsid w:val="00AA75D1"/>
    <w:rsid w:val="00AB45F2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2588"/>
    <w:rsid w:val="00BC68E0"/>
    <w:rsid w:val="00BC7FDF"/>
    <w:rsid w:val="00BD10CE"/>
    <w:rsid w:val="00BD1583"/>
    <w:rsid w:val="00BD1805"/>
    <w:rsid w:val="00BD35DA"/>
    <w:rsid w:val="00BD386A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B2A"/>
    <w:rsid w:val="00C1598C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52CD4"/>
    <w:rsid w:val="00C6170C"/>
    <w:rsid w:val="00C6767F"/>
    <w:rsid w:val="00C84AA3"/>
    <w:rsid w:val="00C91F55"/>
    <w:rsid w:val="00C96E77"/>
    <w:rsid w:val="00CA598F"/>
    <w:rsid w:val="00CC5029"/>
    <w:rsid w:val="00CD68CF"/>
    <w:rsid w:val="00CE55DD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B2571"/>
    <w:rsid w:val="00FC03C3"/>
    <w:rsid w:val="00FC48F1"/>
    <w:rsid w:val="00FC6FD2"/>
    <w:rsid w:val="00FD65BF"/>
    <w:rsid w:val="00FD7FF6"/>
    <w:rsid w:val="00FE0B43"/>
    <w:rsid w:val="00FE2357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A6FA-BF82-4EC2-B0CA-FC5B700C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2</cp:revision>
  <cp:lastPrinted>2020-01-13T10:19:00Z</cp:lastPrinted>
  <dcterms:created xsi:type="dcterms:W3CDTF">2020-03-30T14:17:00Z</dcterms:created>
  <dcterms:modified xsi:type="dcterms:W3CDTF">2020-03-30T14:17:00Z</dcterms:modified>
</cp:coreProperties>
</file>