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75" w:rsidRPr="00F71975" w:rsidRDefault="00F71975" w:rsidP="0054332E">
      <w:pPr>
        <w:rPr>
          <w:lang w:val="en-US"/>
        </w:rPr>
      </w:pPr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B w </w:t>
      </w:r>
      <w:proofErr w:type="spellStart"/>
      <w:r>
        <w:rPr>
          <w:lang w:val="en-US"/>
        </w:rPr>
        <w:t>dokumencie</w:t>
      </w:r>
      <w:proofErr w:type="spellEnd"/>
      <w:r w:rsidRPr="00D63A97">
        <w:rPr>
          <w:lang w:val="en-US"/>
        </w:rPr>
        <w:t xml:space="preserve"> Easy Access Rules for Unmanned Aircraft Systems (Regulations (EU) 2019-947 and (EU) 2019-945)</w:t>
      </w:r>
      <w:r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7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Pr="00D63A97">
        <w:rPr>
          <w:lang w:val="en-US"/>
        </w:rPr>
        <w:t xml:space="preserve"> </w:t>
      </w:r>
    </w:p>
    <w:p w:rsidR="00F71975" w:rsidRDefault="00F71975" w:rsidP="0054332E">
      <w:pPr>
        <w:rPr>
          <w:b/>
        </w:rPr>
      </w:pPr>
    </w:p>
    <w:p w:rsidR="0054332E" w:rsidRDefault="0054332E" w:rsidP="0054332E">
      <w:pPr>
        <w:rPr>
          <w:b/>
        </w:rPr>
      </w:pPr>
      <w:r w:rsidRPr="00753FD0">
        <w:rPr>
          <w:b/>
        </w:rPr>
        <w:t>M1 - Strategiczne środki ograniczające ryzyko na ziemi</w:t>
      </w:r>
      <w:r>
        <w:rPr>
          <w:b/>
        </w:rPr>
        <w:t xml:space="preserve"> </w:t>
      </w:r>
    </w:p>
    <w:p w:rsidR="00D532E9" w:rsidRDefault="0054332E" w:rsidP="0054332E">
      <w:r>
        <w:t xml:space="preserve">W </w:t>
      </w:r>
      <w:r w:rsidR="00A9080B">
        <w:t>pustym</w:t>
      </w:r>
      <w:r>
        <w:t xml:space="preserve"> pol</w:t>
      </w:r>
      <w:r w:rsidR="009D2B77">
        <w:t>u</w:t>
      </w:r>
      <w:r>
        <w:t xml:space="preserve"> należy </w:t>
      </w:r>
      <w:r w:rsidR="009D2B77">
        <w:t xml:space="preserve">wskazać </w:t>
      </w:r>
      <w:r>
        <w:t>odniesienie do dokumentacji, w której opisano spełnienie wymogów - Nazwa dokumentu:</w:t>
      </w:r>
      <w:r>
        <w:br/>
      </w:r>
      <w:r w:rsidR="00D564BB">
        <w:t>Rozdział</w:t>
      </w:r>
      <w:r w:rsidR="00A9080B">
        <w:t>:</w:t>
      </w:r>
    </w:p>
    <w:p w:rsidR="007A66D6" w:rsidRPr="0054332E" w:rsidRDefault="007A66D6" w:rsidP="0054332E"/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419"/>
        <w:gridCol w:w="1701"/>
        <w:gridCol w:w="2551"/>
        <w:gridCol w:w="2790"/>
        <w:gridCol w:w="2313"/>
      </w:tblGrid>
      <w:tr w:rsidR="0054332E" w:rsidRPr="00753FD0" w:rsidTr="0031334F"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9CC2E5" w:themeFill="accent1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integralności</w:t>
            </w:r>
          </w:p>
        </w:tc>
      </w:tr>
      <w:tr w:rsidR="0054332E" w:rsidRPr="00753FD0" w:rsidTr="0031334F"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313" w:type="dxa"/>
            <w:shd w:val="clear" w:color="auto" w:fill="9CC2E5" w:themeFill="accent1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54332E" w:rsidRPr="00753FD0" w:rsidTr="0031334F">
        <w:tc>
          <w:tcPr>
            <w:tcW w:w="1419" w:type="dxa"/>
            <w:vMerge w:val="restart"/>
            <w:shd w:val="clear" w:color="auto" w:fill="F7CAAC" w:themeFill="accent2" w:themeFillTint="66"/>
            <w:vAlign w:val="center"/>
          </w:tcPr>
          <w:p w:rsidR="0054332E" w:rsidRPr="00753FD0" w:rsidRDefault="0054332E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M1 - Strategiczne środki ograniczające ryzyko na ziemi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nr 1 (d</w:t>
            </w:r>
            <w:r w:rsidRPr="00753FD0">
              <w:rPr>
                <w:b/>
                <w:sz w:val="20"/>
                <w:szCs w:val="20"/>
              </w:rPr>
              <w:t>efinicja bufora ryzyka na ziemi)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4332E" w:rsidRPr="00753FD0" w:rsidRDefault="0054332E" w:rsidP="00A516E4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Bufor ryzyka na ziemi z zachowaniem, co najmniej, zasady 1:1</w:t>
            </w:r>
            <w:r w:rsidRPr="00753FD0">
              <w:rPr>
                <w:rStyle w:val="Odwoanieprzypisudolnego"/>
                <w:sz w:val="20"/>
                <w:szCs w:val="20"/>
              </w:rPr>
              <w:footnoteReference w:id="1"/>
            </w:r>
            <w:r w:rsidRPr="00753FD0">
              <w:rPr>
                <w:sz w:val="20"/>
                <w:szCs w:val="20"/>
              </w:rPr>
              <w:t xml:space="preserve">  lub dla BSP typu MR stosując podejście metodologii balistycznej akceptowalnej przez </w:t>
            </w:r>
            <w:r w:rsidR="00A516E4">
              <w:rPr>
                <w:sz w:val="20"/>
                <w:szCs w:val="20"/>
              </w:rPr>
              <w:t>Prezesa Urzędu Lotnictwa Cywilnego.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Bufor ryzyka na ziemi uwzględnia: 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a) mało prawdopodobne, pojedyncze przypadki nieprawidłowej pracy lub awarie (</w:t>
            </w:r>
            <w:r>
              <w:rPr>
                <w:sz w:val="20"/>
                <w:szCs w:val="20"/>
              </w:rPr>
              <w:t xml:space="preserve">w tym części </w:t>
            </w:r>
            <w:r w:rsidRPr="00753FD0">
              <w:rPr>
                <w:sz w:val="20"/>
                <w:szCs w:val="20"/>
              </w:rPr>
              <w:t>wysokoenerg</w:t>
            </w:r>
            <w:r>
              <w:rPr>
                <w:sz w:val="20"/>
                <w:szCs w:val="20"/>
              </w:rPr>
              <w:t>etyczne takie</w:t>
            </w:r>
            <w:r w:rsidRPr="00753FD0">
              <w:rPr>
                <w:sz w:val="20"/>
                <w:szCs w:val="20"/>
              </w:rPr>
              <w:t xml:space="preserve"> jak wirniki i śmigła), które prowadziłyby do operacji poza przestrzenią operacyjną; 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b) warunki meteorologiczne (np. wiatr);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c) opóźnienia BSP (np. opóźnienia, które wpływają na punktualne wykonywanie zwrotów przez BSP);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d) zachowanie BSP podczas </w:t>
            </w:r>
            <w:r w:rsidRPr="006A1DDE">
              <w:rPr>
                <w:sz w:val="20"/>
                <w:szCs w:val="20"/>
              </w:rPr>
              <w:t>aktywacji technicznego środka powstrzymującego</w:t>
            </w:r>
            <w:r w:rsidRPr="00753FD0">
              <w:rPr>
                <w:sz w:val="20"/>
                <w:szCs w:val="20"/>
              </w:rPr>
              <w:t>; oraz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e) osiągi BSP.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Takie same jak w przypadku poziomu średniego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54332E" w:rsidRPr="00753FD0" w:rsidTr="0031334F">
        <w:tc>
          <w:tcPr>
            <w:tcW w:w="1419" w:type="dxa"/>
            <w:vMerge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1334F" w:rsidRPr="0031334F" w:rsidRDefault="0031334F" w:rsidP="0031334F">
            <w:pPr>
              <w:rPr>
                <w:sz w:val="20"/>
                <w:szCs w:val="20"/>
              </w:rPr>
            </w:pPr>
            <w:bookmarkStart w:id="0" w:name="_GoBack"/>
            <w:r w:rsidRPr="0031334F">
              <w:rPr>
                <w:sz w:val="20"/>
                <w:szCs w:val="20"/>
              </w:rPr>
              <w:t>Nazwa dokumentu:</w:t>
            </w:r>
          </w:p>
          <w:p w:rsidR="00F570EB" w:rsidRPr="00753FD0" w:rsidRDefault="00A9080B" w:rsidP="0031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  <w:bookmarkEnd w:id="0"/>
          </w:p>
        </w:tc>
        <w:tc>
          <w:tcPr>
            <w:tcW w:w="2790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313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4332E" w:rsidRPr="00753FD0" w:rsidTr="0031334F">
        <w:tc>
          <w:tcPr>
            <w:tcW w:w="1419" w:type="dxa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Kryterium nr 2 (ocena osób zagrożonych)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4332E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Wnioskodawca ocenia obszar operacyjny za pomocą</w:t>
            </w:r>
            <w:r>
              <w:rPr>
                <w:sz w:val="20"/>
                <w:szCs w:val="20"/>
              </w:rPr>
              <w:t>:</w:t>
            </w:r>
          </w:p>
          <w:p w:rsidR="0054332E" w:rsidRDefault="0054332E" w:rsidP="0054332E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5" w:hanging="175"/>
              <w:rPr>
                <w:sz w:val="20"/>
                <w:szCs w:val="20"/>
              </w:rPr>
            </w:pPr>
            <w:proofErr w:type="spellStart"/>
            <w:r w:rsidRPr="0014717E">
              <w:rPr>
                <w:sz w:val="20"/>
                <w:szCs w:val="20"/>
              </w:rPr>
              <w:t>kontroli</w:t>
            </w:r>
            <w:proofErr w:type="spellEnd"/>
            <w:r w:rsidRPr="0014717E">
              <w:rPr>
                <w:sz w:val="20"/>
                <w:szCs w:val="20"/>
              </w:rPr>
              <w:t xml:space="preserve"> </w:t>
            </w:r>
            <w:proofErr w:type="spellStart"/>
            <w:r w:rsidRPr="0014717E">
              <w:rPr>
                <w:sz w:val="20"/>
                <w:szCs w:val="20"/>
              </w:rPr>
              <w:t>na</w:t>
            </w:r>
            <w:proofErr w:type="spellEnd"/>
            <w:r w:rsidRPr="0014717E">
              <w:rPr>
                <w:sz w:val="20"/>
                <w:szCs w:val="20"/>
              </w:rPr>
              <w:t xml:space="preserve"> </w:t>
            </w:r>
            <w:proofErr w:type="spellStart"/>
            <w:r w:rsidRPr="0014717E">
              <w:rPr>
                <w:sz w:val="20"/>
                <w:szCs w:val="20"/>
              </w:rPr>
              <w:t>miejscu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</w:p>
          <w:p w:rsidR="0054332E" w:rsidRPr="00F570EB" w:rsidRDefault="0054332E" w:rsidP="0054332E">
            <w:pPr>
              <w:pStyle w:val="Akapitzlist"/>
              <w:numPr>
                <w:ilvl w:val="0"/>
                <w:numId w:val="1"/>
              </w:numPr>
              <w:spacing w:line="240" w:lineRule="auto"/>
              <w:ind w:left="175" w:hanging="175"/>
              <w:rPr>
                <w:sz w:val="20"/>
                <w:szCs w:val="20"/>
                <w:lang w:val="pl-PL"/>
              </w:rPr>
            </w:pPr>
            <w:r w:rsidRPr="00F570EB">
              <w:rPr>
                <w:sz w:val="20"/>
                <w:szCs w:val="20"/>
                <w:lang w:val="pl-PL"/>
              </w:rPr>
              <w:t xml:space="preserve">odpowiednich ocen w celu uzasadnienia zmniejszenia zagęszczenia osób zagrożonych (np. obszar mieszkalny w ciągu dnia, gdy niektóre osoby mogą nie być obecne lub strefa przemysłowa nocą z tego samego powodu).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Wni</w:t>
            </w:r>
            <w:r>
              <w:rPr>
                <w:sz w:val="20"/>
                <w:szCs w:val="20"/>
              </w:rPr>
              <w:t>oskodawca ocenia obszar operacyjny</w:t>
            </w:r>
            <w:r w:rsidRPr="00753FD0">
              <w:rPr>
                <w:sz w:val="20"/>
                <w:szCs w:val="20"/>
              </w:rPr>
              <w:t xml:space="preserve"> na podstawie wiarygodnych danych na temat gęstości (np. danych od dostawcy usług U-Space), istotnych dla proponowanego obszaru i czasu operacji, aby uzasadnić niższe zagęszczenie osób zagrożonych. </w:t>
            </w:r>
            <w:r>
              <w:rPr>
                <w:sz w:val="20"/>
                <w:szCs w:val="20"/>
              </w:rPr>
              <w:br/>
            </w:r>
            <w:r w:rsidRPr="00753FD0">
              <w:rPr>
                <w:sz w:val="20"/>
                <w:szCs w:val="20"/>
              </w:rPr>
              <w:t xml:space="preserve">Jeżeli wnioskodawca zgłasza </w:t>
            </w:r>
            <w:r>
              <w:rPr>
                <w:sz w:val="20"/>
                <w:szCs w:val="20"/>
              </w:rPr>
              <w:t xml:space="preserve">zmniejszenie ryzyka ze względu na </w:t>
            </w:r>
            <w:r w:rsidRPr="00753FD0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chronione środowisko operacyjne</w:t>
            </w:r>
            <w:r w:rsidRPr="00753FD0">
              <w:rPr>
                <w:sz w:val="20"/>
                <w:szCs w:val="20"/>
              </w:rPr>
              <w:t>, wtedy: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a) używa BSP o masie poniżej 25 kg i wykonuje lot z </w:t>
            </w:r>
            <w:r w:rsidRPr="00753FD0">
              <w:rPr>
                <w:sz w:val="20"/>
                <w:szCs w:val="20"/>
              </w:rPr>
              <w:lastRenderedPageBreak/>
              <w:t>prędkością poniżej 174 węzłów (90 m/s); oraz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wykazuje</w:t>
            </w:r>
            <w:r w:rsidRPr="00753FD0">
              <w:rPr>
                <w:sz w:val="20"/>
                <w:szCs w:val="20"/>
              </w:rPr>
              <w:t xml:space="preserve">, że, </w:t>
            </w:r>
            <w:r>
              <w:rPr>
                <w:sz w:val="20"/>
                <w:szCs w:val="20"/>
              </w:rPr>
              <w:t>po</w:t>
            </w:r>
            <w:r w:rsidRPr="00753FD0">
              <w:rPr>
                <w:sz w:val="20"/>
                <w:szCs w:val="20"/>
              </w:rPr>
              <w:t xml:space="preserve">mimo, iż operacja przeprowadzana </w:t>
            </w:r>
            <w:r>
              <w:rPr>
                <w:sz w:val="20"/>
                <w:szCs w:val="20"/>
              </w:rPr>
              <w:t xml:space="preserve">jest </w:t>
            </w:r>
            <w:r w:rsidRPr="00753FD0">
              <w:rPr>
                <w:sz w:val="20"/>
                <w:szCs w:val="20"/>
              </w:rPr>
              <w:t>w zaludnionym środowisku, to można za uzasadnienie przyjąć, że większość osób postronnych będzie znajdowała się wewnątrz budynków.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lastRenderedPageBreak/>
              <w:t>Takie same jak w przypadku poziomu średniego.</w:t>
            </w:r>
          </w:p>
        </w:tc>
      </w:tr>
      <w:tr w:rsidR="0054332E" w:rsidRPr="00753FD0" w:rsidTr="0031334F">
        <w:tc>
          <w:tcPr>
            <w:tcW w:w="1419" w:type="dxa"/>
            <w:vMerge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F570EB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790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313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</w:tbl>
    <w:p w:rsidR="0054332E" w:rsidRDefault="0054332E"/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1454"/>
        <w:gridCol w:w="1666"/>
        <w:gridCol w:w="2551"/>
        <w:gridCol w:w="2693"/>
        <w:gridCol w:w="2410"/>
      </w:tblGrid>
      <w:tr w:rsidR="0054332E" w:rsidRPr="00753FD0" w:rsidTr="006E7E0C">
        <w:trPr>
          <w:trHeight w:val="229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A8D08D" w:themeFill="accent6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Poziom pewności</w:t>
            </w:r>
          </w:p>
        </w:tc>
      </w:tr>
      <w:tr w:rsidR="0054332E" w:rsidRPr="00753FD0" w:rsidTr="006E7E0C"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Niski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54332E" w:rsidRPr="00753FD0" w:rsidRDefault="0054332E" w:rsidP="006E7E0C">
            <w:pPr>
              <w:jc w:val="center"/>
              <w:rPr>
                <w:b/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Wysoki</w:t>
            </w:r>
          </w:p>
        </w:tc>
      </w:tr>
      <w:tr w:rsidR="0054332E" w:rsidRPr="00753FD0" w:rsidTr="006E7E0C">
        <w:tc>
          <w:tcPr>
            <w:tcW w:w="1454" w:type="dxa"/>
            <w:vMerge w:val="restart"/>
            <w:shd w:val="clear" w:color="auto" w:fill="F7CAAC" w:themeFill="accent2" w:themeFillTint="66"/>
            <w:vAlign w:val="center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b/>
                <w:sz w:val="20"/>
                <w:szCs w:val="20"/>
              </w:rPr>
              <w:t>M1 - Strategiczne środki ograniczające ryzyko na ziemi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nr 1 (d</w:t>
            </w:r>
            <w:r w:rsidRPr="00753FD0">
              <w:rPr>
                <w:b/>
                <w:sz w:val="20"/>
                <w:szCs w:val="20"/>
              </w:rPr>
              <w:t>efinicja bufora ryzyka na ziemi)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jc w:val="both"/>
              <w:rPr>
                <w:sz w:val="20"/>
                <w:szCs w:val="20"/>
              </w:rPr>
            </w:pPr>
            <w:bookmarkStart w:id="1" w:name="OLE_LINK24"/>
            <w:bookmarkStart w:id="2" w:name="OLE_LINK25"/>
            <w:bookmarkStart w:id="3" w:name="OLE_LINK31"/>
            <w:r w:rsidRPr="00753FD0">
              <w:rPr>
                <w:sz w:val="20"/>
                <w:szCs w:val="20"/>
              </w:rPr>
              <w:t>Wnioskodawca deklaruje, że ​​osiągnięto wymagany poziom integralności</w:t>
            </w:r>
            <w:bookmarkEnd w:id="1"/>
            <w:bookmarkEnd w:id="2"/>
            <w:bookmarkEnd w:id="3"/>
            <w:r w:rsidRPr="00753FD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jc w:val="both"/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Wnioskodawca posiada dokumenty potwierdzające prawdziwość deklaracji o osiągnięciu wymaganego poziomu integralności. Zazwyczaj odbywa się to za pomocą testów, analiz, symulacji, inspekcji, przeglądu projektu lub doświadczenia operacyjnego.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4332E" w:rsidRPr="00753FD0" w:rsidRDefault="003568CD" w:rsidP="006E7E0C">
            <w:pPr>
              <w:rPr>
                <w:sz w:val="20"/>
                <w:szCs w:val="20"/>
              </w:rPr>
            </w:pPr>
            <w:r w:rsidRPr="00F570EB">
              <w:rPr>
                <w:sz w:val="20"/>
                <w:szCs w:val="20"/>
              </w:rPr>
              <w:t xml:space="preserve">Deklarowany poziom </w:t>
            </w:r>
            <w:r>
              <w:rPr>
                <w:sz w:val="20"/>
                <w:szCs w:val="20"/>
              </w:rPr>
              <w:t>integralności</w:t>
            </w:r>
            <w:r w:rsidRPr="00F570EB">
              <w:rPr>
                <w:sz w:val="20"/>
                <w:szCs w:val="20"/>
              </w:rPr>
              <w:t xml:space="preserve"> jest weryfikowany przez </w:t>
            </w:r>
            <w:r>
              <w:rPr>
                <w:sz w:val="20"/>
                <w:szCs w:val="20"/>
              </w:rPr>
              <w:t>Prezesa Urzędu Lotnictwa Cywilnego</w:t>
            </w:r>
            <w:r w:rsidRPr="00F570EB">
              <w:rPr>
                <w:sz w:val="20"/>
                <w:szCs w:val="20"/>
              </w:rPr>
              <w:t xml:space="preserve"> lub przez podmiot wyznaczony przez </w:t>
            </w:r>
            <w:r>
              <w:rPr>
                <w:sz w:val="20"/>
                <w:szCs w:val="20"/>
              </w:rPr>
              <w:t>Prezesa</w:t>
            </w:r>
            <w:r w:rsidR="00A352C9">
              <w:rPr>
                <w:sz w:val="20"/>
                <w:szCs w:val="20"/>
              </w:rPr>
              <w:t>.</w:t>
            </w:r>
          </w:p>
        </w:tc>
      </w:tr>
      <w:tr w:rsidR="0054332E" w:rsidRPr="00753FD0" w:rsidTr="006E7E0C">
        <w:tc>
          <w:tcPr>
            <w:tcW w:w="1454" w:type="dxa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F570EB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693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410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  <w:tr w:rsidR="0054332E" w:rsidRPr="00753FD0" w:rsidTr="006E7E0C">
        <w:tc>
          <w:tcPr>
            <w:tcW w:w="1454" w:type="dxa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nr 2 (o</w:t>
            </w:r>
            <w:r w:rsidRPr="00753FD0">
              <w:rPr>
                <w:b/>
                <w:sz w:val="20"/>
                <w:szCs w:val="20"/>
              </w:rPr>
              <w:t>cena osób zagrożonych)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Wnioskodawca deklaruje, że osiągnięto wymagany poziom integralności.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 xml:space="preserve">Dane dotyczące zagęszczenia zastosowane w celu ograniczenia ryzyka są mapą średniego zagęszczenia dla dnia/przedziału czasowego operacji, </w:t>
            </w:r>
            <w:r>
              <w:rPr>
                <w:sz w:val="20"/>
                <w:szCs w:val="20"/>
              </w:rPr>
              <w:t xml:space="preserve">które </w:t>
            </w:r>
            <w:r w:rsidRPr="00753FD0">
              <w:rPr>
                <w:sz w:val="20"/>
                <w:szCs w:val="20"/>
              </w:rPr>
              <w:t>pochodzącą ze źródeł statycznych (np. dane spisowe dla operacji nocnych).</w:t>
            </w:r>
          </w:p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Ponadto, w przypadku operacji zlokalizowanych (np. dostawa w obrębie miasta lub kontrola infrastruktury), wnioskodawca przedkłada proponowaną trasę/obszar operacji właściwemu organowi (np. policji w mieście, urzędowi ochrony ludności, właścicielowi infrastruktury, itp.) w celu weryfikacji zgłoszenia o zmniejszonej liczbie osób zagrożonych.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  <w:r w:rsidRPr="00753FD0">
              <w:rPr>
                <w:sz w:val="20"/>
                <w:szCs w:val="20"/>
              </w:rPr>
              <w:t>Takie same jak w przypadku poziomu średniego, jednakże dane o zagęszczeniu zastosowane w celu ograniczenia ryzyka są mapą zagęszczenia w czasie zbliżonym do rzeczywistego z dynamicznego pozyskiwania (np. dane użytkowników usług telefonii komórkowej) i mają zastosowanie do dnia/przedziału czasowego operacji</w:t>
            </w:r>
            <w:r>
              <w:rPr>
                <w:sz w:val="20"/>
                <w:szCs w:val="20"/>
              </w:rPr>
              <w:t>.</w:t>
            </w:r>
          </w:p>
        </w:tc>
      </w:tr>
      <w:tr w:rsidR="0054332E" w:rsidRPr="00753FD0" w:rsidTr="0054332E">
        <w:tc>
          <w:tcPr>
            <w:tcW w:w="1454" w:type="dxa"/>
            <w:vMerge/>
            <w:shd w:val="clear" w:color="auto" w:fill="F7CAAC" w:themeFill="accent2" w:themeFillTint="66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54332E" w:rsidRPr="00753FD0" w:rsidRDefault="0054332E" w:rsidP="006E7E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F570EB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693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  <w:tc>
          <w:tcPr>
            <w:tcW w:w="2410" w:type="dxa"/>
          </w:tcPr>
          <w:p w:rsidR="00A9080B" w:rsidRPr="0031334F" w:rsidRDefault="00A9080B" w:rsidP="00A9080B">
            <w:pPr>
              <w:rPr>
                <w:sz w:val="20"/>
                <w:szCs w:val="20"/>
              </w:rPr>
            </w:pPr>
            <w:r w:rsidRPr="0031334F">
              <w:rPr>
                <w:sz w:val="20"/>
                <w:szCs w:val="20"/>
              </w:rPr>
              <w:t>Nazwa dokumentu:</w:t>
            </w:r>
          </w:p>
          <w:p w:rsidR="0054332E" w:rsidRPr="00753FD0" w:rsidRDefault="00A9080B" w:rsidP="00A9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</w:t>
            </w:r>
          </w:p>
        </w:tc>
      </w:tr>
    </w:tbl>
    <w:p w:rsidR="0054332E" w:rsidRDefault="0054332E"/>
    <w:sectPr w:rsidR="0054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CC" w:rsidRDefault="00D95BCC" w:rsidP="0054332E">
      <w:pPr>
        <w:spacing w:after="0" w:line="240" w:lineRule="auto"/>
      </w:pPr>
      <w:r>
        <w:separator/>
      </w:r>
    </w:p>
  </w:endnote>
  <w:endnote w:type="continuationSeparator" w:id="0">
    <w:p w:rsidR="00D95BCC" w:rsidRDefault="00D95BCC" w:rsidP="005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CC" w:rsidRDefault="00D95BCC" w:rsidP="0054332E">
      <w:pPr>
        <w:spacing w:after="0" w:line="240" w:lineRule="auto"/>
      </w:pPr>
      <w:r>
        <w:separator/>
      </w:r>
    </w:p>
  </w:footnote>
  <w:footnote w:type="continuationSeparator" w:id="0">
    <w:p w:rsidR="00D95BCC" w:rsidRDefault="00D95BCC" w:rsidP="0054332E">
      <w:pPr>
        <w:spacing w:after="0" w:line="240" w:lineRule="auto"/>
      </w:pPr>
      <w:r>
        <w:continuationSeparator/>
      </w:r>
    </w:p>
  </w:footnote>
  <w:footnote w:id="1">
    <w:p w:rsidR="0054332E" w:rsidRDefault="0054332E" w:rsidP="00543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25D9">
        <w:rPr>
          <w:i/>
          <w:sz w:val="16"/>
          <w:szCs w:val="16"/>
        </w:rPr>
        <w:t>J</w:t>
      </w:r>
      <w:r w:rsidRPr="00C25387">
        <w:rPr>
          <w:i/>
          <w:sz w:val="16"/>
          <w:szCs w:val="16"/>
        </w:rPr>
        <w:t>eżeli</w:t>
      </w:r>
      <w:r>
        <w:rPr>
          <w:i/>
          <w:sz w:val="16"/>
          <w:szCs w:val="16"/>
        </w:rPr>
        <w:t xml:space="preserve"> BSP ma operować na wysokości 12</w:t>
      </w:r>
      <w:r w:rsidRPr="00C25387">
        <w:rPr>
          <w:i/>
          <w:sz w:val="16"/>
          <w:szCs w:val="16"/>
        </w:rPr>
        <w:t>0 m bufor ryzyka na ziemi powinien wynosić, co</w:t>
      </w:r>
      <w:r>
        <w:rPr>
          <w:i/>
          <w:sz w:val="16"/>
          <w:szCs w:val="16"/>
        </w:rPr>
        <w:t xml:space="preserve"> najmniej 12</w:t>
      </w:r>
      <w:r w:rsidRPr="00C25387">
        <w:rPr>
          <w:i/>
          <w:sz w:val="16"/>
          <w:szCs w:val="16"/>
        </w:rPr>
        <w:t>0 m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33F0"/>
    <w:multiLevelType w:val="hybridMultilevel"/>
    <w:tmpl w:val="98D22070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2E"/>
    <w:rsid w:val="000F02EA"/>
    <w:rsid w:val="001918CF"/>
    <w:rsid w:val="002479C4"/>
    <w:rsid w:val="002A7EE7"/>
    <w:rsid w:val="0031334F"/>
    <w:rsid w:val="003568CD"/>
    <w:rsid w:val="003839AE"/>
    <w:rsid w:val="004A5B61"/>
    <w:rsid w:val="0054332E"/>
    <w:rsid w:val="0054674B"/>
    <w:rsid w:val="00660029"/>
    <w:rsid w:val="006650C3"/>
    <w:rsid w:val="006E50D4"/>
    <w:rsid w:val="007A66D6"/>
    <w:rsid w:val="007C13E9"/>
    <w:rsid w:val="007C49B7"/>
    <w:rsid w:val="008A59B6"/>
    <w:rsid w:val="008B709F"/>
    <w:rsid w:val="008D75B7"/>
    <w:rsid w:val="00996592"/>
    <w:rsid w:val="009D2B77"/>
    <w:rsid w:val="00A352C9"/>
    <w:rsid w:val="00A4349E"/>
    <w:rsid w:val="00A516E4"/>
    <w:rsid w:val="00A9080B"/>
    <w:rsid w:val="00AE5C9A"/>
    <w:rsid w:val="00AF6AAA"/>
    <w:rsid w:val="00C135FF"/>
    <w:rsid w:val="00C4606E"/>
    <w:rsid w:val="00D43398"/>
    <w:rsid w:val="00D532E9"/>
    <w:rsid w:val="00D564BB"/>
    <w:rsid w:val="00D95BCC"/>
    <w:rsid w:val="00EA4050"/>
    <w:rsid w:val="00EB63B7"/>
    <w:rsid w:val="00F570EB"/>
    <w:rsid w:val="00F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555F"/>
  <w15:chartTrackingRefBased/>
  <w15:docId w15:val="{DB7DA19C-04FB-4E0B-935A-EAACAA3B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32E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3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3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32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4332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1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sa.europa.eu/en/document-library/easy-access-rules/easy-access-rules-unmanned-aircraft-systems-regulations-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Droździkowska Aleksandra</dc:creator>
  <cp:keywords/>
  <dc:description/>
  <cp:lastModifiedBy>Droździkowska Aleksandra</cp:lastModifiedBy>
  <cp:revision>4</cp:revision>
  <dcterms:created xsi:type="dcterms:W3CDTF">2023-11-03T16:39:00Z</dcterms:created>
  <dcterms:modified xsi:type="dcterms:W3CDTF">2025-01-13T15:59:00Z</dcterms:modified>
</cp:coreProperties>
</file>