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53" w:rsidRPr="00AD0453" w:rsidRDefault="00AD0453" w:rsidP="0058705F">
      <w:pPr>
        <w:rPr>
          <w:lang w:val="en-US"/>
        </w:rPr>
      </w:pPr>
      <w:proofErr w:type="spellStart"/>
      <w:r>
        <w:rPr>
          <w:lang w:val="en-US"/>
        </w:rPr>
        <w:t>Szczegóły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znajdują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 xml:space="preserve"> w </w:t>
      </w:r>
      <w:proofErr w:type="spellStart"/>
      <w:r w:rsidRPr="00D63A97">
        <w:rPr>
          <w:lang w:val="en-US"/>
        </w:rPr>
        <w:t>Załącznik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B w </w:t>
      </w:r>
      <w:proofErr w:type="spellStart"/>
      <w:r>
        <w:rPr>
          <w:lang w:val="en-US"/>
        </w:rPr>
        <w:t>dokumencie</w:t>
      </w:r>
      <w:proofErr w:type="spellEnd"/>
      <w:r w:rsidRPr="00D63A97">
        <w:rPr>
          <w:lang w:val="en-US"/>
        </w:rPr>
        <w:t xml:space="preserve"> Easy Access Rules for Unmanned Aircraft Systems (Regulations (EU) 2019-947 and (EU) 2019-945)</w:t>
      </w:r>
      <w:r>
        <w:rPr>
          <w:lang w:val="en-US"/>
        </w:rPr>
        <w:t>:</w:t>
      </w:r>
      <w:r w:rsidRPr="00D63A97">
        <w:rPr>
          <w:lang w:val="en-US"/>
        </w:rPr>
        <w:t xml:space="preserve"> </w:t>
      </w:r>
      <w:hyperlink r:id="rId4" w:history="1">
        <w:r w:rsidRPr="00D63A97">
          <w:rPr>
            <w:rStyle w:val="Hipercze"/>
            <w:lang w:val="en-US"/>
          </w:rPr>
          <w:t>https://www.easa.europa.eu/en/document-library/easy-access-rules/easy-access-rules-unmanned-aircraft-systems-regulations-eu</w:t>
        </w:r>
      </w:hyperlink>
      <w:r w:rsidRPr="00D63A97">
        <w:rPr>
          <w:lang w:val="en-US"/>
        </w:rPr>
        <w:t xml:space="preserve"> </w:t>
      </w:r>
    </w:p>
    <w:p w:rsidR="00AD0453" w:rsidRDefault="00AD0453" w:rsidP="0058705F">
      <w:pPr>
        <w:rPr>
          <w:b/>
        </w:rPr>
      </w:pPr>
    </w:p>
    <w:p w:rsidR="00F06144" w:rsidRPr="004133C7" w:rsidRDefault="0058705F" w:rsidP="00106979">
      <w:pPr>
        <w:rPr>
          <w:b/>
        </w:rPr>
      </w:pPr>
      <w:r w:rsidRPr="00F54E67">
        <w:rPr>
          <w:b/>
        </w:rPr>
        <w:t xml:space="preserve">M2 — </w:t>
      </w:r>
      <w:r w:rsidRPr="00690853">
        <w:rPr>
          <w:b/>
        </w:rPr>
        <w:t>Skutki dynamiki uderzenia BSP w ziemię zostają zmniejszone</w:t>
      </w:r>
      <w:r w:rsidRPr="00F54E67">
        <w:rPr>
          <w:b/>
        </w:rPr>
        <w:t>.</w:t>
      </w:r>
    </w:p>
    <w:p w:rsidR="00106979" w:rsidRPr="0054332E" w:rsidRDefault="00106979" w:rsidP="00106979">
      <w:r>
        <w:t xml:space="preserve">W </w:t>
      </w:r>
      <w:r w:rsidR="004133C7">
        <w:t>pustym</w:t>
      </w:r>
      <w:r>
        <w:t xml:space="preserve"> polu należy wskazać odniesienie do dokumentacji, w której opisano spełnienie wymogów - Nazwa dokumentu:</w:t>
      </w:r>
      <w:r>
        <w:br/>
      </w:r>
      <w:r w:rsidR="002E135C">
        <w:t>Rozdział</w:t>
      </w:r>
      <w:r>
        <w:t>:</w:t>
      </w:r>
      <w:r>
        <w:br/>
      </w:r>
    </w:p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1702"/>
        <w:gridCol w:w="1559"/>
        <w:gridCol w:w="2408"/>
        <w:gridCol w:w="2833"/>
        <w:gridCol w:w="6"/>
        <w:gridCol w:w="2266"/>
      </w:tblGrid>
      <w:tr w:rsidR="0058705F" w:rsidRPr="00753FD0" w:rsidTr="006E7E0C">
        <w:tc>
          <w:tcPr>
            <w:tcW w:w="3261" w:type="dxa"/>
            <w:gridSpan w:val="2"/>
            <w:vMerge w:val="restart"/>
            <w:shd w:val="clear" w:color="auto" w:fill="F7CAAC" w:themeFill="accent2" w:themeFillTint="66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shd w:val="clear" w:color="auto" w:fill="9CC2E5" w:themeFill="accent1" w:themeFillTint="99"/>
          </w:tcPr>
          <w:p w:rsidR="0058705F" w:rsidRPr="00753FD0" w:rsidRDefault="0058705F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Poziom integralności</w:t>
            </w:r>
          </w:p>
        </w:tc>
      </w:tr>
      <w:tr w:rsidR="0058705F" w:rsidRPr="00753FD0" w:rsidTr="006E7E0C">
        <w:tc>
          <w:tcPr>
            <w:tcW w:w="3261" w:type="dxa"/>
            <w:gridSpan w:val="2"/>
            <w:vMerge/>
            <w:shd w:val="clear" w:color="auto" w:fill="F7CAAC" w:themeFill="accent2" w:themeFillTint="66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9CC2E5" w:themeFill="accent1" w:themeFillTint="99"/>
          </w:tcPr>
          <w:p w:rsidR="0058705F" w:rsidRPr="00753FD0" w:rsidRDefault="0058705F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Niski</w:t>
            </w:r>
          </w:p>
        </w:tc>
        <w:tc>
          <w:tcPr>
            <w:tcW w:w="2833" w:type="dxa"/>
            <w:shd w:val="clear" w:color="auto" w:fill="9CC2E5" w:themeFill="accent1" w:themeFillTint="99"/>
          </w:tcPr>
          <w:p w:rsidR="0058705F" w:rsidRPr="00753FD0" w:rsidRDefault="0058705F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2272" w:type="dxa"/>
            <w:gridSpan w:val="2"/>
            <w:shd w:val="clear" w:color="auto" w:fill="9CC2E5" w:themeFill="accent1" w:themeFillTint="99"/>
          </w:tcPr>
          <w:p w:rsidR="0058705F" w:rsidRPr="00753FD0" w:rsidRDefault="0058705F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Wysoki</w:t>
            </w:r>
          </w:p>
        </w:tc>
      </w:tr>
      <w:tr w:rsidR="0058705F" w:rsidRPr="00753FD0" w:rsidTr="006E7E0C">
        <w:tc>
          <w:tcPr>
            <w:tcW w:w="1702" w:type="dxa"/>
            <w:vMerge w:val="restart"/>
            <w:shd w:val="clear" w:color="auto" w:fill="F7CAAC" w:themeFill="accent2" w:themeFillTint="66"/>
            <w:vAlign w:val="center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  <w:p w:rsidR="0058705F" w:rsidRPr="00753FD0" w:rsidRDefault="0058705F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 xml:space="preserve">M2 — Skutki dynamiki uderzenia BSP </w:t>
            </w:r>
            <w:r>
              <w:rPr>
                <w:b/>
                <w:sz w:val="20"/>
                <w:szCs w:val="20"/>
              </w:rPr>
              <w:t xml:space="preserve">w ziemię </w:t>
            </w:r>
            <w:r w:rsidRPr="00753FD0">
              <w:rPr>
                <w:b/>
                <w:sz w:val="20"/>
                <w:szCs w:val="20"/>
              </w:rPr>
              <w:t>zostają zmniejszone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Kryterium nr 1 (Projekt techniczny)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Nie spełnia kryteriów poziomu „średniego”.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1. Skutki dynamiki uderzenia i zagrożeń występujących po zderzeniu zostają znacznie zmniejszone, chociaż można założyć, że może dojść do wypadku śmiertelnego. </w:t>
            </w:r>
          </w:p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2. W stosownych przypadkach, w sytuacji nieprawidłowego działania, awarii lub w przypadku łącznego ich wystąpienia, co może prowadzić do zderzenia, BSP zawiera wszystkie elementy wymagane do uruchomienia środka ograniczającego. </w:t>
            </w:r>
          </w:p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3. W stosownych przypadkach, awaria lub nieprawidłowe działanie proponowanego środka ograniczającego (np. nieumyślne uruchomienie) nie wpływa negatywnie na bezpieczeństwo operacji.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Takie same jak w przypadku poziomu średniego.</w:t>
            </w:r>
          </w:p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Ponadto: </w:t>
            </w:r>
          </w:p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a) w stosownych przypadkach, aktywacja środka ograniczającego jest zautomatyzowana2. </w:t>
            </w:r>
          </w:p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b) skutki dynamiki uderzenia i zagrożeń po uderzeniu są zredukowane do poziomu, w którym można zasadnie założyć, że nie dojdzie do wypadku śmiertelnego.</w:t>
            </w:r>
          </w:p>
        </w:tc>
      </w:tr>
      <w:tr w:rsidR="0058705F" w:rsidRPr="00753FD0" w:rsidTr="006E7E0C">
        <w:tc>
          <w:tcPr>
            <w:tcW w:w="1702" w:type="dxa"/>
            <w:vMerge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58705F" w:rsidRPr="00753FD0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wnioskujący</w:t>
            </w:r>
          </w:p>
        </w:tc>
        <w:tc>
          <w:tcPr>
            <w:tcW w:w="2839" w:type="dxa"/>
            <w:gridSpan w:val="2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8705F" w:rsidRPr="00753FD0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266" w:type="dxa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8705F" w:rsidRPr="008B66D7" w:rsidRDefault="004133C7" w:rsidP="004133C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  <w:tr w:rsidR="0058705F" w:rsidRPr="00753FD0" w:rsidTr="006E7E0C">
        <w:tc>
          <w:tcPr>
            <w:tcW w:w="1702" w:type="dxa"/>
            <w:vMerge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Kryterium nr 2 (Procedury, jeśli dotyczy)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Wszelkie urządzenia stosowane w celu zmniejszenia wpływu dynamiki uderzenia BSP zostały zainstalowane i były serwisowane zgodnie z instrukcjami producenta.</w:t>
            </w:r>
          </w:p>
        </w:tc>
      </w:tr>
      <w:tr w:rsidR="0058705F" w:rsidRPr="00753FD0" w:rsidTr="006E7E0C">
        <w:tc>
          <w:tcPr>
            <w:tcW w:w="1702" w:type="dxa"/>
            <w:vMerge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8705F" w:rsidRPr="00753FD0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  <w:tr w:rsidR="0058705F" w:rsidRPr="00753FD0" w:rsidTr="006E7E0C">
        <w:tc>
          <w:tcPr>
            <w:tcW w:w="1702" w:type="dxa"/>
            <w:vMerge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Kryterium nr 3 (Szkolenia, jeśli dotyczy)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Personel odpowiedzialny za instalację i utrzymanie środków proponowanych w celu zmniejszenia wpływu dynamiki uderzenia BSP został zidentyfikowany i przeszkolony przez wnioskodawcę.</w:t>
            </w:r>
          </w:p>
        </w:tc>
      </w:tr>
      <w:tr w:rsidR="0058705F" w:rsidRPr="00753FD0" w:rsidTr="006E7E0C">
        <w:tc>
          <w:tcPr>
            <w:tcW w:w="1702" w:type="dxa"/>
            <w:vMerge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8705F" w:rsidRPr="00753FD0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</w:tbl>
    <w:p w:rsidR="00996592" w:rsidRDefault="00996592"/>
    <w:p w:rsidR="004133C7" w:rsidRDefault="004133C7"/>
    <w:p w:rsidR="004133C7" w:rsidRDefault="004133C7"/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1702"/>
        <w:gridCol w:w="1559"/>
        <w:gridCol w:w="2410"/>
        <w:gridCol w:w="2835"/>
        <w:gridCol w:w="2268"/>
      </w:tblGrid>
      <w:tr w:rsidR="0058705F" w:rsidRPr="00753FD0" w:rsidTr="006E7E0C">
        <w:tc>
          <w:tcPr>
            <w:tcW w:w="3261" w:type="dxa"/>
            <w:gridSpan w:val="2"/>
            <w:vMerge w:val="restart"/>
            <w:shd w:val="clear" w:color="auto" w:fill="F7CAAC" w:themeFill="accent2" w:themeFillTint="66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A8D08D" w:themeFill="accent6" w:themeFillTint="99"/>
          </w:tcPr>
          <w:p w:rsidR="0058705F" w:rsidRPr="00753FD0" w:rsidRDefault="0058705F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Poziom pewności</w:t>
            </w:r>
          </w:p>
        </w:tc>
      </w:tr>
      <w:tr w:rsidR="0058705F" w:rsidRPr="00753FD0" w:rsidTr="006E7E0C">
        <w:tc>
          <w:tcPr>
            <w:tcW w:w="3261" w:type="dxa"/>
            <w:gridSpan w:val="2"/>
            <w:vMerge/>
            <w:shd w:val="clear" w:color="auto" w:fill="F7CAAC" w:themeFill="accent2" w:themeFillTint="66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58705F" w:rsidRPr="00753FD0" w:rsidRDefault="0058705F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Niski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58705F" w:rsidRPr="00753FD0" w:rsidRDefault="0058705F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58705F" w:rsidRPr="00753FD0" w:rsidRDefault="0058705F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Wysoki</w:t>
            </w:r>
          </w:p>
        </w:tc>
      </w:tr>
      <w:tr w:rsidR="0058705F" w:rsidRPr="00753FD0" w:rsidTr="005F467A">
        <w:tc>
          <w:tcPr>
            <w:tcW w:w="1702" w:type="dxa"/>
            <w:vMerge w:val="restart"/>
            <w:shd w:val="clear" w:color="auto" w:fill="F7CAAC" w:themeFill="accent2" w:themeFillTint="66"/>
            <w:vAlign w:val="center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M2 — Skutki dynamiki uderzenia BSP zostają zmniejszone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Kryterium nr 1 (Projekt techniczny)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8705F" w:rsidRPr="00295129" w:rsidRDefault="0058705F" w:rsidP="006E7E0C">
            <w:pPr>
              <w:rPr>
                <w:sz w:val="20"/>
                <w:szCs w:val="20"/>
                <w:vertAlign w:val="superscript"/>
              </w:rPr>
            </w:pPr>
            <w:r w:rsidRPr="00753FD0">
              <w:rPr>
                <w:sz w:val="20"/>
                <w:szCs w:val="20"/>
              </w:rPr>
              <w:t>Wnioskodawca oświadcza, że osiągnięto wymagany poziom integralności.</w:t>
            </w:r>
            <w:r w:rsidR="004312C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8705F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Wnioskodawca posiada dokumenty potwierdzające prawdziwość deklaracji, że osiągnięto wymagany poziom integralności. Zazwyczaj</w:t>
            </w:r>
            <w:r w:rsidR="004312C5">
              <w:rPr>
                <w:sz w:val="20"/>
                <w:szCs w:val="20"/>
                <w:vertAlign w:val="superscript"/>
              </w:rPr>
              <w:t>2</w:t>
            </w:r>
            <w:r w:rsidR="004312C5">
              <w:rPr>
                <w:sz w:val="20"/>
                <w:szCs w:val="20"/>
              </w:rPr>
              <w:t xml:space="preserve"> </w:t>
            </w:r>
            <w:r w:rsidRPr="00753FD0">
              <w:rPr>
                <w:sz w:val="20"/>
                <w:szCs w:val="20"/>
              </w:rPr>
              <w:t xml:space="preserve">odbywa się to za pomocą testów, analiz, symulacji, inspekcji, przeglądu projektu lub doświadczenia operacyjnego. Zwykle osiąga się to poprzez testowanie lub doświadczenie operacyjne.  </w:t>
            </w:r>
          </w:p>
          <w:p w:rsidR="004312C5" w:rsidRPr="00753FD0" w:rsidRDefault="004312C5" w:rsidP="004312C5">
            <w:pPr>
              <w:rPr>
                <w:sz w:val="20"/>
                <w:szCs w:val="20"/>
              </w:rPr>
            </w:pPr>
            <w:r w:rsidRPr="004312C5">
              <w:rPr>
                <w:sz w:val="20"/>
                <w:szCs w:val="20"/>
              </w:rPr>
              <w:t>Wnioskodawca może zadeklarować zg</w:t>
            </w:r>
            <w:r w:rsidR="00AA51C3">
              <w:rPr>
                <w:sz w:val="20"/>
                <w:szCs w:val="20"/>
              </w:rPr>
              <w:t xml:space="preserve">odność z </w:t>
            </w:r>
            <w:proofErr w:type="spellStart"/>
            <w:r w:rsidR="00AA51C3">
              <w:rPr>
                <w:sz w:val="20"/>
                <w:szCs w:val="20"/>
              </w:rPr>
              <w:t>MoC</w:t>
            </w:r>
            <w:proofErr w:type="spellEnd"/>
            <w:r w:rsidR="00AA51C3">
              <w:rPr>
                <w:sz w:val="20"/>
                <w:szCs w:val="20"/>
              </w:rPr>
              <w:t xml:space="preserve"> do Light-UAS.2512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4312C5">
              <w:rPr>
                <w:sz w:val="20"/>
                <w:szCs w:val="20"/>
              </w:rPr>
              <w:t xml:space="preserve"> przedstawiając dowody potwierdzające określone w dokumencie.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Deklarowany poziom integralności jest zatwierdzany przez EASA zgodnie ze standardem uznanym za odpowiedni przez EASA i/lub zgodnie ze środkami zgodności akceptowanym przez EASA (w stosownych przypadkach).</w:t>
            </w:r>
          </w:p>
        </w:tc>
      </w:tr>
      <w:tr w:rsidR="004312C5" w:rsidRPr="004312C5" w:rsidTr="00295129">
        <w:tc>
          <w:tcPr>
            <w:tcW w:w="1702" w:type="dxa"/>
            <w:vMerge/>
            <w:shd w:val="clear" w:color="auto" w:fill="F7CAAC" w:themeFill="accent2" w:themeFillTint="66"/>
          </w:tcPr>
          <w:p w:rsidR="004312C5" w:rsidRPr="00753FD0" w:rsidRDefault="004312C5" w:rsidP="006E7E0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312C5" w:rsidRPr="00295129" w:rsidRDefault="004312C5" w:rsidP="006E7E0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95129">
              <w:rPr>
                <w:b/>
                <w:i/>
                <w:sz w:val="20"/>
                <w:szCs w:val="20"/>
              </w:rPr>
              <w:t>Komenatrze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312C5" w:rsidRPr="00295129" w:rsidRDefault="004312C5" w:rsidP="006E7E0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vertAlign w:val="superscript"/>
              </w:rPr>
              <w:t>1</w:t>
            </w:r>
            <w:r w:rsidRPr="00295129">
              <w:rPr>
                <w:i/>
                <w:sz w:val="20"/>
                <w:szCs w:val="20"/>
              </w:rPr>
              <w:t>Dowody potwierdzające mogą, ale nie muszą być dostępne.</w:t>
            </w:r>
          </w:p>
        </w:tc>
        <w:tc>
          <w:tcPr>
            <w:tcW w:w="2835" w:type="dxa"/>
            <w:shd w:val="clear" w:color="auto" w:fill="auto"/>
          </w:tcPr>
          <w:p w:rsidR="004312C5" w:rsidRDefault="004312C5" w:rsidP="004312C5">
            <w:pPr>
              <w:rPr>
                <w:i/>
                <w:sz w:val="20"/>
                <w:szCs w:val="20"/>
              </w:rPr>
            </w:pPr>
            <w:r w:rsidRPr="00295129">
              <w:rPr>
                <w:i/>
                <w:sz w:val="20"/>
                <w:szCs w:val="20"/>
                <w:vertAlign w:val="superscript"/>
              </w:rPr>
              <w:t xml:space="preserve">2  </w:t>
            </w:r>
            <w:r w:rsidRPr="00295129">
              <w:rPr>
                <w:i/>
                <w:sz w:val="20"/>
                <w:szCs w:val="20"/>
              </w:rPr>
              <w:t>Zaleca się korzystanie ze standardów branżowych przy opracowywaniu środków ograniczających ryzyko stosowanych w celu zmniejszenia skutków dynamiki uderzenia BSP</w:t>
            </w:r>
          </w:p>
          <w:p w:rsidR="004312C5" w:rsidRDefault="004312C5" w:rsidP="004312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vertAlign w:val="superscript"/>
              </w:rPr>
              <w:t>3</w:t>
            </w:r>
            <w:r w:rsidRPr="00295129">
              <w:rPr>
                <w:i/>
                <w:sz w:val="20"/>
                <w:szCs w:val="20"/>
              </w:rPr>
              <w:t>Podczas przeprowadzania symulacji należy uzasadnić właściwość docelowego środowiska wykorzystywanego w symulacji.</w:t>
            </w:r>
          </w:p>
          <w:p w:rsidR="004312C5" w:rsidRPr="00295129" w:rsidRDefault="004312C5" w:rsidP="004312C5">
            <w:pPr>
              <w:rPr>
                <w:i/>
                <w:sz w:val="20"/>
                <w:szCs w:val="20"/>
                <w:lang w:val="en-US"/>
              </w:rPr>
            </w:pPr>
            <w:r w:rsidRPr="004312C5">
              <w:rPr>
                <w:i/>
                <w:sz w:val="20"/>
                <w:szCs w:val="20"/>
                <w:vertAlign w:val="superscript"/>
                <w:lang w:val="en-US"/>
              </w:rPr>
              <w:t>4</w:t>
            </w:r>
            <w:hyperlink r:id="rId5" w:history="1">
              <w:r w:rsidRPr="004312C5">
                <w:rPr>
                  <w:rStyle w:val="Hipercze"/>
                  <w:i/>
                  <w:sz w:val="20"/>
                  <w:szCs w:val="20"/>
                  <w:lang w:val="en-US"/>
                </w:rPr>
                <w:t>Means of Compliance for mitigation means M2 Ref. AMC to article 11 of Regulation 2019/947 | EASA (europa.eu)</w:t>
              </w:r>
            </w:hyperlink>
          </w:p>
        </w:tc>
        <w:tc>
          <w:tcPr>
            <w:tcW w:w="2268" w:type="dxa"/>
            <w:shd w:val="clear" w:color="auto" w:fill="auto"/>
          </w:tcPr>
          <w:p w:rsidR="004312C5" w:rsidRPr="004312C5" w:rsidRDefault="004312C5" w:rsidP="006E7E0C">
            <w:pPr>
              <w:rPr>
                <w:sz w:val="20"/>
                <w:szCs w:val="20"/>
                <w:lang w:val="en-US"/>
              </w:rPr>
            </w:pPr>
          </w:p>
        </w:tc>
      </w:tr>
      <w:tr w:rsidR="0058705F" w:rsidRPr="004312C5" w:rsidTr="006E7E0C">
        <w:tc>
          <w:tcPr>
            <w:tcW w:w="1702" w:type="dxa"/>
            <w:vMerge/>
            <w:shd w:val="clear" w:color="auto" w:fill="F7CAAC" w:themeFill="accent2" w:themeFillTint="66"/>
          </w:tcPr>
          <w:p w:rsidR="0058705F" w:rsidRPr="004312C5" w:rsidRDefault="0058705F" w:rsidP="006E7E0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4312C5" w:rsidRDefault="0058705F" w:rsidP="006E7E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8705F" w:rsidRPr="00295129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wnioskujący</w:t>
            </w:r>
            <w:bookmarkStart w:id="0" w:name="_GoBack"/>
            <w:bookmarkEnd w:id="0"/>
          </w:p>
        </w:tc>
        <w:tc>
          <w:tcPr>
            <w:tcW w:w="2835" w:type="dxa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8705F" w:rsidRPr="00295129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268" w:type="dxa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8705F" w:rsidRPr="00295129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  <w:tr w:rsidR="0058705F" w:rsidRPr="00753FD0" w:rsidTr="006E7E0C">
        <w:tc>
          <w:tcPr>
            <w:tcW w:w="1702" w:type="dxa"/>
            <w:vMerge/>
            <w:shd w:val="clear" w:color="auto" w:fill="F7CAAC" w:themeFill="accent2" w:themeFillTint="66"/>
          </w:tcPr>
          <w:p w:rsidR="0058705F" w:rsidRPr="00295129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Kryterium nr 2 (Procedury, jeśli dotyczy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8705F" w:rsidRPr="00753FD0" w:rsidRDefault="00903FA7" w:rsidP="006E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 w:rsidR="0058705F" w:rsidRPr="00753FD0">
              <w:rPr>
                <w:sz w:val="20"/>
                <w:szCs w:val="20"/>
              </w:rPr>
              <w:t xml:space="preserve"> Procedury nie wymagają zatwierdzenia w odniesieniu do normy lub środków</w:t>
            </w:r>
          </w:p>
          <w:p w:rsidR="0058705F" w:rsidRPr="00753FD0" w:rsidRDefault="00903FA7" w:rsidP="006E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 w:rsidR="0058705F" w:rsidRPr="00753FD0">
              <w:rPr>
                <w:sz w:val="20"/>
                <w:szCs w:val="20"/>
              </w:rPr>
              <w:t xml:space="preserve"> Deklarowana jest adekwatność procedur i list kontrolnych.</w:t>
            </w:r>
          </w:p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8705F" w:rsidRPr="00295129" w:rsidRDefault="00903FA7" w:rsidP="006E7E0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(a)</w:t>
            </w:r>
            <w:r w:rsidR="0058705F" w:rsidRPr="00753FD0">
              <w:rPr>
                <w:sz w:val="20"/>
                <w:szCs w:val="20"/>
              </w:rPr>
              <w:t xml:space="preserve"> Procedury są zatwierdzane zgodnie z normami uznanymi przez </w:t>
            </w:r>
            <w:r w:rsidRPr="00903FA7">
              <w:rPr>
                <w:sz w:val="20"/>
                <w:szCs w:val="20"/>
              </w:rPr>
              <w:t>Prezesa Urzędu Lotnictwa Cywilnego i/lub zgodnie z akceptowalnymi środkami zgodności.</w:t>
            </w:r>
            <w:r w:rsidR="0058705F" w:rsidRPr="00753F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  <w:p w:rsidR="0058705F" w:rsidRPr="00753FD0" w:rsidRDefault="00903FA7" w:rsidP="006E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 w:rsidR="0058705F" w:rsidRPr="00753FD0">
              <w:rPr>
                <w:sz w:val="20"/>
                <w:szCs w:val="20"/>
              </w:rPr>
              <w:t xml:space="preserve"> Adekwatność procedur jest potwierdzana przez:  </w:t>
            </w:r>
          </w:p>
          <w:p w:rsidR="0058705F" w:rsidRPr="00753FD0" w:rsidRDefault="00903FA7" w:rsidP="006E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(1)</w:t>
            </w:r>
            <w:r w:rsidR="0058705F" w:rsidRPr="00753FD0">
              <w:rPr>
                <w:sz w:val="20"/>
                <w:szCs w:val="20"/>
              </w:rPr>
              <w:t xml:space="preserve"> specjalne badania wykonane podczas lotu; lub</w:t>
            </w:r>
          </w:p>
          <w:p w:rsidR="00903FA7" w:rsidRDefault="00903FA7" w:rsidP="006E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(2)</w:t>
            </w:r>
            <w:r w:rsidR="0058705F" w:rsidRPr="00753FD0">
              <w:rPr>
                <w:sz w:val="20"/>
                <w:szCs w:val="20"/>
              </w:rPr>
              <w:t xml:space="preserve"> symulację, pod warunkiem, że właściwość symulacji w stosunku do zamierzonego celu zostanie udowodniona z pozytywnym wynikiem</w:t>
            </w:r>
            <w:r>
              <w:rPr>
                <w:sz w:val="20"/>
                <w:szCs w:val="20"/>
              </w:rPr>
              <w:t>;</w:t>
            </w:r>
          </w:p>
          <w:p w:rsidR="0058705F" w:rsidRPr="00753FD0" w:rsidRDefault="00903FA7" w:rsidP="006E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295129">
              <w:rPr>
                <w:sz w:val="20"/>
                <w:szCs w:val="20"/>
              </w:rPr>
              <w:t>wszelkie inne środki akceptowalne przez Prezesa Urzędu Lotnictwa Cywilnego.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Takie same jak w przypadku poziomu średniego. Ponadto: </w:t>
            </w:r>
          </w:p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a) testy przeprowadzone podczas lotu w celu potwierdzenia procedur obejmują całą obwiednię lotu lub okazały się ostrożne.                                      b) procedury, testy wykonywane podczas lotu oraz symulacje są zatwierdzane przez </w:t>
            </w:r>
            <w:r w:rsidR="00A252DF">
              <w:rPr>
                <w:sz w:val="20"/>
                <w:szCs w:val="20"/>
              </w:rPr>
              <w:t>Prezesa Urzędu Lotnictwa Cywilnego</w:t>
            </w:r>
            <w:r w:rsidR="00A252DF" w:rsidRPr="00F570EB">
              <w:rPr>
                <w:sz w:val="20"/>
                <w:szCs w:val="20"/>
              </w:rPr>
              <w:t xml:space="preserve"> lub przez podmiot wyznaczony przez </w:t>
            </w:r>
            <w:r w:rsidR="00A252DF">
              <w:rPr>
                <w:sz w:val="20"/>
                <w:szCs w:val="20"/>
              </w:rPr>
              <w:t>Prezesa.</w:t>
            </w:r>
          </w:p>
        </w:tc>
      </w:tr>
      <w:tr w:rsidR="0058705F" w:rsidRPr="00753FD0" w:rsidTr="00295129">
        <w:tc>
          <w:tcPr>
            <w:tcW w:w="1702" w:type="dxa"/>
            <w:vMerge/>
            <w:shd w:val="clear" w:color="auto" w:fill="F7CAAC" w:themeFill="accent2" w:themeFillTint="66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8705F" w:rsidRPr="00295129" w:rsidRDefault="00A252DF" w:rsidP="00295129">
            <w:pPr>
              <w:jc w:val="center"/>
              <w:rPr>
                <w:b/>
                <w:i/>
                <w:sz w:val="20"/>
                <w:szCs w:val="20"/>
              </w:rPr>
            </w:pPr>
            <w:r w:rsidRPr="00295129">
              <w:rPr>
                <w:b/>
                <w:i/>
                <w:sz w:val="20"/>
                <w:szCs w:val="20"/>
              </w:rPr>
              <w:t>Komentarze</w:t>
            </w:r>
          </w:p>
        </w:tc>
        <w:tc>
          <w:tcPr>
            <w:tcW w:w="2410" w:type="dxa"/>
            <w:shd w:val="clear" w:color="auto" w:fill="auto"/>
          </w:tcPr>
          <w:p w:rsidR="0058705F" w:rsidRPr="00753FD0" w:rsidRDefault="0058705F" w:rsidP="0058705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8705F" w:rsidRPr="00A252DF" w:rsidRDefault="00903FA7" w:rsidP="0058705F">
            <w:pPr>
              <w:rPr>
                <w:sz w:val="20"/>
                <w:szCs w:val="20"/>
              </w:rPr>
            </w:pPr>
            <w:r w:rsidRPr="00295129">
              <w:rPr>
                <w:i/>
                <w:sz w:val="20"/>
                <w:szCs w:val="20"/>
                <w:vertAlign w:val="superscript"/>
              </w:rPr>
              <w:t>1</w:t>
            </w:r>
            <w:r w:rsidRPr="00295129">
              <w:rPr>
                <w:i/>
                <w:sz w:val="20"/>
                <w:szCs w:val="20"/>
              </w:rPr>
              <w:t>AMC2 UAS.SPEC.030(3)(e) (Procedury operacyjne dla średnich i wysokich poziomów solidności) uznaje się za akceptowalny sposób spełnienia wymagań.</w:t>
            </w:r>
          </w:p>
        </w:tc>
        <w:tc>
          <w:tcPr>
            <w:tcW w:w="2268" w:type="dxa"/>
          </w:tcPr>
          <w:p w:rsidR="0058705F" w:rsidRPr="00753FD0" w:rsidRDefault="0058705F" w:rsidP="0058705F">
            <w:pPr>
              <w:rPr>
                <w:sz w:val="20"/>
                <w:szCs w:val="20"/>
              </w:rPr>
            </w:pPr>
          </w:p>
        </w:tc>
      </w:tr>
      <w:tr w:rsidR="00903FA7" w:rsidRPr="00753FD0" w:rsidTr="006E7E0C">
        <w:tc>
          <w:tcPr>
            <w:tcW w:w="1702" w:type="dxa"/>
            <w:vMerge/>
            <w:shd w:val="clear" w:color="auto" w:fill="F7CAAC" w:themeFill="accent2" w:themeFillTint="66"/>
          </w:tcPr>
          <w:p w:rsidR="00903FA7" w:rsidRPr="00753FD0" w:rsidRDefault="00903FA7" w:rsidP="006E7E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03FA7" w:rsidRPr="00753FD0" w:rsidRDefault="00903FA7" w:rsidP="006E7E0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903FA7" w:rsidRPr="00753FD0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835" w:type="dxa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903FA7" w:rsidRPr="00753FD0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268" w:type="dxa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903FA7" w:rsidRPr="00753FD0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  <w:tr w:rsidR="0058705F" w:rsidRPr="00753FD0" w:rsidTr="006E7E0C">
        <w:tc>
          <w:tcPr>
            <w:tcW w:w="1702" w:type="dxa"/>
            <w:vMerge/>
            <w:shd w:val="clear" w:color="auto" w:fill="F7CAAC" w:themeFill="accent2" w:themeFillTint="66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Kryterium nr 3 (Szkolenia, jeśli dotyczy)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Zadeklarowano samodzielne prowadzenie szkoleń (dostępne dokumenty potwierdzające)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8705F" w:rsidRPr="00753FD0" w:rsidRDefault="00617A4F" w:rsidP="006E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 w:rsidR="0058705F" w:rsidRPr="00753FD0">
              <w:rPr>
                <w:sz w:val="20"/>
                <w:szCs w:val="20"/>
              </w:rPr>
              <w:t xml:space="preserve"> Dostępny jest program szkolenia.</w:t>
            </w:r>
          </w:p>
          <w:p w:rsidR="0058705F" w:rsidRPr="00753FD0" w:rsidRDefault="00617A4F" w:rsidP="006E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 w:rsidR="0058705F" w:rsidRPr="00753FD0">
              <w:rPr>
                <w:sz w:val="20"/>
                <w:szCs w:val="20"/>
              </w:rPr>
              <w:t xml:space="preserve"> Operator </w:t>
            </w:r>
            <w:r w:rsidR="00BC242D">
              <w:rPr>
                <w:sz w:val="20"/>
                <w:szCs w:val="20"/>
              </w:rPr>
              <w:t>S</w:t>
            </w:r>
            <w:r w:rsidR="0058705F" w:rsidRPr="00753FD0">
              <w:rPr>
                <w:sz w:val="20"/>
                <w:szCs w:val="20"/>
              </w:rPr>
              <w:t>BSP zapewnia szkolenia teoretyczne i praktyczne oparte na kompetencjach.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8705F" w:rsidRPr="00753FD0" w:rsidRDefault="00617A4F" w:rsidP="006E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 w:rsidR="0058705F" w:rsidRPr="00753FD0">
              <w:rPr>
                <w:sz w:val="20"/>
                <w:szCs w:val="20"/>
              </w:rPr>
              <w:t xml:space="preserve"> Program szkolenia jest zatwierdzany przez </w:t>
            </w:r>
            <w:r w:rsidR="00FF1C50">
              <w:rPr>
                <w:sz w:val="20"/>
                <w:szCs w:val="20"/>
              </w:rPr>
              <w:t>Prezesa Urzędu Lotnictwa Cywilnego</w:t>
            </w:r>
            <w:r w:rsidR="00FF1C50" w:rsidRPr="00F570EB">
              <w:rPr>
                <w:sz w:val="20"/>
                <w:szCs w:val="20"/>
              </w:rPr>
              <w:t xml:space="preserve"> lub przez podmiot wyznaczony przez </w:t>
            </w:r>
            <w:r w:rsidR="00FF1C50">
              <w:rPr>
                <w:sz w:val="20"/>
                <w:szCs w:val="20"/>
              </w:rPr>
              <w:t>Prezesa.</w:t>
            </w:r>
          </w:p>
          <w:p w:rsidR="0058705F" w:rsidRPr="00753FD0" w:rsidRDefault="0061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 w:rsidR="0058705F" w:rsidRPr="00753FD0">
              <w:rPr>
                <w:sz w:val="20"/>
                <w:szCs w:val="20"/>
              </w:rPr>
              <w:t xml:space="preserve"> Kompetencje </w:t>
            </w:r>
            <w:r w:rsidR="00FF1C50">
              <w:rPr>
                <w:sz w:val="20"/>
                <w:szCs w:val="20"/>
              </w:rPr>
              <w:t>personelu</w:t>
            </w:r>
            <w:r w:rsidR="00FF1C50" w:rsidRPr="00753FD0">
              <w:rPr>
                <w:sz w:val="20"/>
                <w:szCs w:val="20"/>
              </w:rPr>
              <w:t xml:space="preserve"> </w:t>
            </w:r>
            <w:r w:rsidR="0058705F" w:rsidRPr="00753FD0">
              <w:rPr>
                <w:sz w:val="20"/>
                <w:szCs w:val="20"/>
              </w:rPr>
              <w:t xml:space="preserve">są weryfikowane przez </w:t>
            </w:r>
            <w:r w:rsidR="00FF1C50">
              <w:rPr>
                <w:sz w:val="20"/>
                <w:szCs w:val="20"/>
              </w:rPr>
              <w:t>Prezesa Urzędu Lotnictwa Cywilnego</w:t>
            </w:r>
            <w:r w:rsidR="00FF1C50" w:rsidRPr="00F570EB">
              <w:rPr>
                <w:sz w:val="20"/>
                <w:szCs w:val="20"/>
              </w:rPr>
              <w:t xml:space="preserve"> lub przez podmiot wyznaczony przez </w:t>
            </w:r>
            <w:r w:rsidR="00FF1C50">
              <w:rPr>
                <w:sz w:val="20"/>
                <w:szCs w:val="20"/>
              </w:rPr>
              <w:t>Prezesa.</w:t>
            </w:r>
          </w:p>
        </w:tc>
      </w:tr>
      <w:tr w:rsidR="0058705F" w:rsidRPr="00753FD0" w:rsidTr="006E7E0C">
        <w:tc>
          <w:tcPr>
            <w:tcW w:w="1702" w:type="dxa"/>
            <w:vMerge/>
            <w:shd w:val="clear" w:color="auto" w:fill="F7CAAC" w:themeFill="accent2" w:themeFillTint="66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705F" w:rsidRPr="00753FD0" w:rsidRDefault="0058705F" w:rsidP="006E7E0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8705F" w:rsidRPr="00753FD0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835" w:type="dxa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8705F" w:rsidRPr="00753FD0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268" w:type="dxa"/>
          </w:tcPr>
          <w:p w:rsidR="004133C7" w:rsidRPr="0031334F" w:rsidRDefault="004133C7" w:rsidP="004133C7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8705F" w:rsidRPr="00753FD0" w:rsidRDefault="004133C7" w:rsidP="00413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</w:tbl>
    <w:p w:rsidR="0058705F" w:rsidRDefault="0058705F"/>
    <w:sectPr w:rsidR="0058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F"/>
    <w:rsid w:val="000F02EA"/>
    <w:rsid w:val="00106979"/>
    <w:rsid w:val="001C30E4"/>
    <w:rsid w:val="00220781"/>
    <w:rsid w:val="00295129"/>
    <w:rsid w:val="002A7EE7"/>
    <w:rsid w:val="002E135C"/>
    <w:rsid w:val="00316395"/>
    <w:rsid w:val="003839AE"/>
    <w:rsid w:val="003D3609"/>
    <w:rsid w:val="004133C7"/>
    <w:rsid w:val="004312C5"/>
    <w:rsid w:val="0058705F"/>
    <w:rsid w:val="005F467A"/>
    <w:rsid w:val="00617A4F"/>
    <w:rsid w:val="00660029"/>
    <w:rsid w:val="0066128F"/>
    <w:rsid w:val="007E14AF"/>
    <w:rsid w:val="008A59B6"/>
    <w:rsid w:val="008B709F"/>
    <w:rsid w:val="00903FA7"/>
    <w:rsid w:val="00933C94"/>
    <w:rsid w:val="00996592"/>
    <w:rsid w:val="00A252DF"/>
    <w:rsid w:val="00AA51C3"/>
    <w:rsid w:val="00AD0453"/>
    <w:rsid w:val="00BC242D"/>
    <w:rsid w:val="00D43398"/>
    <w:rsid w:val="00DB7ED0"/>
    <w:rsid w:val="00EA4050"/>
    <w:rsid w:val="00F06144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8C74"/>
  <w15:chartTrackingRefBased/>
  <w15:docId w15:val="{8B0C3D27-9B92-42DF-BFAB-3C49F0BD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705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C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312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33C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asa.europa.eu/en/document-library/product-certification-consultations/means-compliance-mitigation-means-m2-ref-amc" TargetMode="External"/><Relationship Id="rId4" Type="http://schemas.openxmlformats.org/officeDocument/2006/relationships/hyperlink" Target="https://www.easa.europa.eu/en/document-library/easy-access-rules/easy-access-rules-unmanned-aircraft-systems-regulations-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Droździkowska Aleksandra</dc:creator>
  <cp:keywords/>
  <dc:description/>
  <cp:lastModifiedBy>Droździkowska Aleksandra</cp:lastModifiedBy>
  <cp:revision>5</cp:revision>
  <dcterms:created xsi:type="dcterms:W3CDTF">2023-11-03T16:39:00Z</dcterms:created>
  <dcterms:modified xsi:type="dcterms:W3CDTF">2025-01-13T15:58:00Z</dcterms:modified>
</cp:coreProperties>
</file>