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F7" w:rsidRDefault="00342CF7" w:rsidP="00342CF7">
      <w:pPr>
        <w:rPr>
          <w:lang w:val="en-US"/>
        </w:rPr>
      </w:pPr>
      <w:proofErr w:type="spellStart"/>
      <w:r>
        <w:rPr>
          <w:lang w:val="en-US"/>
        </w:rPr>
        <w:t>Szczegóły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znajdują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 xml:space="preserve"> w </w:t>
      </w:r>
      <w:proofErr w:type="spellStart"/>
      <w:r w:rsidRPr="00D63A97">
        <w:rPr>
          <w:lang w:val="en-US"/>
        </w:rPr>
        <w:t>Załącznik</w:t>
      </w:r>
      <w:r>
        <w:rPr>
          <w:lang w:val="en-US"/>
        </w:rPr>
        <w:t>u</w:t>
      </w:r>
      <w:proofErr w:type="spellEnd"/>
      <w:r w:rsidRPr="00D63A97">
        <w:rPr>
          <w:lang w:val="en-US"/>
        </w:rPr>
        <w:t xml:space="preserve"> E </w:t>
      </w:r>
      <w:r w:rsidR="002F0277">
        <w:rPr>
          <w:lang w:val="en-US"/>
        </w:rPr>
        <w:t xml:space="preserve">w </w:t>
      </w:r>
      <w:proofErr w:type="spellStart"/>
      <w:r w:rsidR="002F0277">
        <w:rPr>
          <w:lang w:val="en-US"/>
        </w:rPr>
        <w:t>dokumencie</w:t>
      </w:r>
      <w:proofErr w:type="spellEnd"/>
      <w:r w:rsidR="002F0277">
        <w:rPr>
          <w:lang w:val="en-US"/>
        </w:rPr>
        <w:t xml:space="preserve"> </w:t>
      </w:r>
      <w:r w:rsidRPr="00D63A97">
        <w:rPr>
          <w:lang w:val="en-US"/>
        </w:rPr>
        <w:t>Easy Access Rules for Unmanned Aircraft Systems (Regulations (EU) 2019-947 and (EU) 2019-945)</w:t>
      </w:r>
      <w:r w:rsidR="002F0277">
        <w:rPr>
          <w:lang w:val="en-US"/>
        </w:rPr>
        <w:t>:</w:t>
      </w:r>
      <w:r w:rsidRPr="00D63A97">
        <w:rPr>
          <w:lang w:val="en-US"/>
        </w:rPr>
        <w:t xml:space="preserve"> </w:t>
      </w:r>
      <w:hyperlink r:id="rId5" w:history="1">
        <w:r w:rsidRPr="00D63A97">
          <w:rPr>
            <w:rStyle w:val="Hipercze"/>
            <w:lang w:val="en-US"/>
          </w:rPr>
          <w:t>https://www.easa.europa.eu/en/document-library/easy-access-rules/easy-access-rules-unmanned-aircraft-systems-regulations-eu</w:t>
        </w:r>
      </w:hyperlink>
      <w:r w:rsidRPr="00D63A97">
        <w:rPr>
          <w:lang w:val="en-US"/>
        </w:rPr>
        <w:t xml:space="preserve"> </w:t>
      </w:r>
    </w:p>
    <w:p w:rsidR="00D63A97" w:rsidRPr="00D63A97" w:rsidRDefault="00D63A97" w:rsidP="0041508A">
      <w:pPr>
        <w:rPr>
          <w:lang w:val="en-US"/>
        </w:rPr>
      </w:pPr>
    </w:p>
    <w:p w:rsidR="0041508A" w:rsidRPr="009D15D0" w:rsidRDefault="0041508A" w:rsidP="0041508A">
      <w:pPr>
        <w:rPr>
          <w:b/>
        </w:rPr>
      </w:pPr>
      <w:r w:rsidRPr="009D15D0">
        <w:rPr>
          <w:b/>
        </w:rPr>
        <w:t>SAIL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CA7EE1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1158B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1158B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CA7EE1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CA7EE1" w:rsidTr="00BC4C4F">
        <w:tc>
          <w:tcPr>
            <w:tcW w:w="2265" w:type="dxa"/>
            <w:shd w:val="clear" w:color="auto" w:fill="FBE4D5" w:themeFill="accent2" w:themeFillTint="33"/>
          </w:tcPr>
          <w:p w:rsidR="0041508A" w:rsidRPr="00CA7EE1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OSO#01 Należy upewnić się, że operator SBSP jest kompetentny i/lub zweryfikowany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0B2D89" w:rsidRDefault="0041508A" w:rsidP="00BC4C4F">
            <w:pPr>
              <w:jc w:val="both"/>
              <w:rPr>
                <w:sz w:val="18"/>
                <w:szCs w:val="18"/>
              </w:rPr>
            </w:pPr>
            <w:r w:rsidRPr="000B2D89">
              <w:rPr>
                <w:sz w:val="18"/>
                <w:szCs w:val="18"/>
              </w:rPr>
              <w:t xml:space="preserve">Wnioskodawca jest zaznajomiony z używanym </w:t>
            </w:r>
            <w:r>
              <w:rPr>
                <w:sz w:val="18"/>
                <w:szCs w:val="18"/>
              </w:rPr>
              <w:t>S</w:t>
            </w:r>
            <w:r w:rsidRPr="000B2D89">
              <w:rPr>
                <w:sz w:val="18"/>
                <w:szCs w:val="18"/>
              </w:rPr>
              <w:t>BSP i posiada, co najmniej, następujące odpowiednie procedury operacyjne: listy kontrolne, obsługę techniczną, szkolenia, zadania</w:t>
            </w:r>
            <w:r>
              <w:rPr>
                <w:sz w:val="18"/>
                <w:szCs w:val="18"/>
              </w:rPr>
              <w:t xml:space="preserve"> i powiązane </w:t>
            </w:r>
            <w:r w:rsidRPr="000B2D89">
              <w:rPr>
                <w:sz w:val="18"/>
                <w:szCs w:val="18"/>
              </w:rPr>
              <w:t xml:space="preserve"> obowiązki.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726E92" w:rsidRDefault="00726E92" w:rsidP="00726E92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Rozdział: Część A,</w:t>
            </w:r>
          </w:p>
          <w:p w:rsidR="0041508A" w:rsidRDefault="00726E92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Część B</w:t>
            </w:r>
            <w:r w:rsidR="0041508A"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Część D</w:t>
            </w:r>
            <w:r w:rsidR="0041508A">
              <w:rPr>
                <w:rFonts w:cs="Calibri"/>
                <w:sz w:val="18"/>
                <w:szCs w:val="18"/>
              </w:rPr>
              <w:t xml:space="preserve">, </w:t>
            </w:r>
            <w:r w:rsidR="0041508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Część E</w:t>
            </w:r>
            <w:r w:rsidR="0041508A">
              <w:rPr>
                <w:rFonts w:cs="Calibri"/>
                <w:sz w:val="18"/>
                <w:szCs w:val="18"/>
              </w:rPr>
              <w:t>,</w:t>
            </w:r>
            <w:r>
              <w:rPr>
                <w:rFonts w:cs="Calibri"/>
                <w:sz w:val="18"/>
                <w:szCs w:val="18"/>
              </w:rPr>
              <w:t xml:space="preserve"> Część T sekcja </w:t>
            </w:r>
            <w:r w:rsidRPr="00726E92">
              <w:rPr>
                <w:rFonts w:cs="Calibri"/>
                <w:sz w:val="18"/>
                <w:szCs w:val="18"/>
                <w:highlight w:val="yellow"/>
              </w:rPr>
              <w:t>6.1</w:t>
            </w:r>
            <w:r w:rsidR="0041508A">
              <w:rPr>
                <w:rFonts w:cs="Calibri"/>
                <w:sz w:val="18"/>
                <w:szCs w:val="18"/>
              </w:rPr>
              <w:t>,</w:t>
            </w:r>
            <w:r>
              <w:rPr>
                <w:rFonts w:cs="Calibri"/>
                <w:sz w:val="18"/>
                <w:szCs w:val="18"/>
              </w:rPr>
              <w:t xml:space="preserve"> Część O sekcja 7.1 , 7.2, </w:t>
            </w:r>
            <w:r w:rsidRPr="00726E92">
              <w:rPr>
                <w:rFonts w:cs="Calibri"/>
                <w:sz w:val="18"/>
                <w:szCs w:val="18"/>
                <w:highlight w:val="yellow"/>
              </w:rPr>
              <w:t>7.3</w:t>
            </w:r>
            <w:r>
              <w:rPr>
                <w:rFonts w:cs="Calibri"/>
                <w:sz w:val="18"/>
                <w:szCs w:val="18"/>
              </w:rPr>
              <w:t xml:space="preserve"> Załącznik 8.2</w:t>
            </w:r>
          </w:p>
          <w:p w:rsidR="0041508A" w:rsidRPr="00CA7EE1" w:rsidRDefault="0041508A" w:rsidP="00726E92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</w:t>
            </w:r>
            <w:r w:rsidR="00726E92">
              <w:rPr>
                <w:rFonts w:cs="Calibri"/>
                <w:sz w:val="18"/>
                <w:szCs w:val="18"/>
              </w:rPr>
              <w:t xml:space="preserve">łącznik </w:t>
            </w:r>
            <w:r w:rsidR="00726E92" w:rsidRPr="00726E92">
              <w:rPr>
                <w:rFonts w:cs="Calibri"/>
                <w:sz w:val="18"/>
                <w:szCs w:val="18"/>
                <w:highlight w:val="yellow"/>
              </w:rPr>
              <w:t>8.3.1</w:t>
            </w:r>
          </w:p>
        </w:tc>
      </w:tr>
      <w:tr w:rsidR="0041508A" w:rsidRPr="00CA7EE1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1158B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1158B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CA7EE1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CA7EE1" w:rsidTr="00BC4C4F">
        <w:tc>
          <w:tcPr>
            <w:tcW w:w="2265" w:type="dxa"/>
            <w:shd w:val="clear" w:color="auto" w:fill="FBE4D5" w:themeFill="accent2" w:themeFillTint="33"/>
          </w:tcPr>
          <w:p w:rsidR="0041508A" w:rsidRPr="00CA7EE1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OSO#01 Należy upewnić się, że operator SBSP jest kompetentny i/lub zweryfikowany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both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 xml:space="preserve">Elementy </w:t>
            </w:r>
            <w:r>
              <w:rPr>
                <w:sz w:val="18"/>
                <w:szCs w:val="18"/>
              </w:rPr>
              <w:t xml:space="preserve">określone w </w:t>
            </w:r>
            <w:r w:rsidRPr="00CA7EE1">
              <w:rPr>
                <w:sz w:val="18"/>
                <w:szCs w:val="18"/>
              </w:rPr>
              <w:t xml:space="preserve">poziomie integralności zostały </w:t>
            </w:r>
            <w:r>
              <w:rPr>
                <w:sz w:val="18"/>
                <w:szCs w:val="18"/>
              </w:rPr>
              <w:t>uwzględnione</w:t>
            </w:r>
            <w:r w:rsidRPr="00CA7EE1">
              <w:rPr>
                <w:sz w:val="18"/>
                <w:szCs w:val="18"/>
              </w:rPr>
              <w:t xml:space="preserve"> w </w:t>
            </w:r>
            <w:proofErr w:type="spellStart"/>
            <w:r w:rsidRPr="00CA7EE1">
              <w:rPr>
                <w:sz w:val="18"/>
                <w:szCs w:val="18"/>
              </w:rPr>
              <w:t>ConOps</w:t>
            </w:r>
            <w:proofErr w:type="spellEnd"/>
            <w:r w:rsidRPr="00CA7EE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CA7EE1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1158B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1158B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CA7EE1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CA7EE1" w:rsidTr="00BC4C4F">
        <w:tc>
          <w:tcPr>
            <w:tcW w:w="2265" w:type="dxa"/>
            <w:shd w:val="clear" w:color="auto" w:fill="FBE4D5" w:themeFill="accent2" w:themeFillTint="33"/>
          </w:tcPr>
          <w:p w:rsidR="0041508A" w:rsidRPr="00CA7EE1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sz w:val="18"/>
                <w:szCs w:val="18"/>
              </w:rPr>
              <w:t>OSO#02 BSP</w:t>
            </w:r>
            <w:r>
              <w:rPr>
                <w:sz w:val="18"/>
                <w:szCs w:val="18"/>
              </w:rPr>
              <w:t xml:space="preserve"> zaprojektowany i </w:t>
            </w:r>
            <w:r w:rsidRPr="008E57B5">
              <w:rPr>
                <w:sz w:val="18"/>
                <w:szCs w:val="18"/>
              </w:rPr>
              <w:t>wyprodukowany przez kompetentny i/lub zweryfikowany podmiot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CA7EE1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1158B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1158B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CA7EE1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CA7EE1" w:rsidTr="00BC4C4F">
        <w:tc>
          <w:tcPr>
            <w:tcW w:w="2265" w:type="dxa"/>
            <w:shd w:val="clear" w:color="auto" w:fill="FBE4D5" w:themeFill="accent2" w:themeFillTint="33"/>
          </w:tcPr>
          <w:p w:rsidR="0041508A" w:rsidRPr="00CA7EE1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sz w:val="18"/>
                <w:szCs w:val="18"/>
              </w:rPr>
              <w:t>OSO#02 BSP</w:t>
            </w:r>
            <w:r>
              <w:rPr>
                <w:sz w:val="18"/>
                <w:szCs w:val="18"/>
              </w:rPr>
              <w:t xml:space="preserve"> zaprojektowany i </w:t>
            </w:r>
            <w:r w:rsidRPr="008E57B5">
              <w:rPr>
                <w:sz w:val="18"/>
                <w:szCs w:val="18"/>
              </w:rPr>
              <w:t>wyprodukowany przez kompetentny i/lub zweryfikowany podmiot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both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Default="0041508A" w:rsidP="0041508A"/>
    <w:p w:rsidR="0041508A" w:rsidRDefault="0041508A" w:rsidP="0041508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CA7EE1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1158B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1158B">
              <w:rPr>
                <w:b/>
                <w:sz w:val="18"/>
                <w:szCs w:val="18"/>
              </w:rPr>
              <w:lastRenderedPageBreak/>
              <w:t xml:space="preserve">PROBLEM TECHNICZNY Z </w:t>
            </w:r>
            <w:r>
              <w:rPr>
                <w:b/>
                <w:sz w:val="18"/>
                <w:szCs w:val="18"/>
              </w:rPr>
              <w:t>BSP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CA7EE1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CA7EE1" w:rsidTr="00BC4C4F">
        <w:tc>
          <w:tcPr>
            <w:tcW w:w="2265" w:type="dxa"/>
            <w:shd w:val="clear" w:color="auto" w:fill="FBE4D5" w:themeFill="accent2" w:themeFillTint="33"/>
          </w:tcPr>
          <w:p w:rsidR="0041508A" w:rsidRPr="00CA7EE1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03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Obsługa techniczna BSP jest wyko</w:t>
            </w:r>
            <w:r>
              <w:rPr>
                <w:rFonts w:cs="Calibri"/>
                <w:sz w:val="18"/>
                <w:szCs w:val="18"/>
              </w:rPr>
              <w:t xml:space="preserve">nywana przez kompetentny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i/lub zweryfikowany podmiot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8E57B5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(a) Instrukcje obsługi technicznej BSP są zdefiniowane i w stosownych przypadkach obejmują instrukcje i wymagania producenta BSP. </w:t>
            </w:r>
          </w:p>
          <w:p w:rsidR="0041508A" w:rsidRPr="008E57B5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(b) Personel wykonujący obsługę techniczną jest kompetentny i otrzymał upoważnienie do przeprowadzania obsługi technicznej BSP.</w:t>
            </w:r>
          </w:p>
          <w:p w:rsidR="0041508A" w:rsidRPr="0011158B" w:rsidRDefault="0041508A" w:rsidP="00BC4C4F">
            <w:pPr>
              <w:shd w:val="clear" w:color="auto" w:fill="D9D9D9" w:themeFill="background1" w:themeFillShade="D9"/>
              <w:spacing w:line="256" w:lineRule="auto"/>
              <w:jc w:val="both"/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(c) Personel zapewniający obsługę techniczną korzysta z instrukcji obsługi technicznej BSP podczas przeprowadzania obsługi technicznej.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Rozdział: </w:t>
            </w:r>
            <w:r w:rsidR="00D804EC">
              <w:rPr>
                <w:rFonts w:cs="Calibri"/>
                <w:sz w:val="18"/>
                <w:szCs w:val="18"/>
              </w:rPr>
              <w:t>Część O</w:t>
            </w:r>
            <w:r>
              <w:rPr>
                <w:rFonts w:cs="Calibri"/>
                <w:sz w:val="18"/>
                <w:szCs w:val="18"/>
              </w:rPr>
              <w:t xml:space="preserve"> sekcja 7.1</w:t>
            </w: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Rozdział: </w:t>
            </w:r>
            <w:r w:rsidR="00D804EC">
              <w:rPr>
                <w:rFonts w:cs="Calibri"/>
                <w:sz w:val="18"/>
                <w:szCs w:val="18"/>
              </w:rPr>
              <w:t xml:space="preserve">Część O </w:t>
            </w:r>
            <w:r>
              <w:rPr>
                <w:rFonts w:cs="Calibri"/>
                <w:sz w:val="18"/>
                <w:szCs w:val="18"/>
              </w:rPr>
              <w:t>sekcja 7.</w:t>
            </w:r>
            <w:r w:rsidRPr="009F23B2">
              <w:rPr>
                <w:rFonts w:cs="Calibri"/>
                <w:sz w:val="18"/>
                <w:szCs w:val="18"/>
                <w:highlight w:val="yellow"/>
              </w:rPr>
              <w:t>3</w:t>
            </w: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CA7EE1" w:rsidRDefault="00BC4C4F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CA7EE1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1158B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1158B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CA7EE1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CA7EE1" w:rsidTr="00BC4C4F"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CA7EE1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03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Obsługa techniczna BSP jest wyko</w:t>
            </w:r>
            <w:r>
              <w:rPr>
                <w:rFonts w:cs="Calibri"/>
                <w:sz w:val="18"/>
                <w:szCs w:val="18"/>
              </w:rPr>
              <w:t xml:space="preserve">nywana przez kompetentny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i/lub zweryfikowany podmiot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 xml:space="preserve">Kryteria nr 1 </w:t>
            </w:r>
          </w:p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(Procedura)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8E57B5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(a) Instrukcje obsługi technicznej są udokumentowane. </w:t>
            </w:r>
          </w:p>
          <w:p w:rsidR="0041508A" w:rsidRPr="008E57B5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(b) Przeprowadzona obsługa techniczna BSP jest rejestrowana w systemie dziennika obsługi technicznej </w:t>
            </w:r>
            <w:r w:rsidRPr="008E57B5">
              <w:rPr>
                <w:rFonts w:ascii="Calibri" w:hAnsi="Calibri" w:cs="Calibri"/>
                <w:sz w:val="18"/>
                <w:szCs w:val="18"/>
                <w:vertAlign w:val="superscript"/>
              </w:rPr>
              <w:t>1/2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1508A" w:rsidRPr="008E57B5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(c) Ustanawia się i aktualizuje wykaz personelu obsługi technicznej upoważnionego do przeprowadzania obsługi technicznej.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(a) 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Rozdział: Załącznik 8.3.</w:t>
            </w:r>
            <w:r>
              <w:rPr>
                <w:rFonts w:cs="Calibri"/>
                <w:sz w:val="18"/>
                <w:szCs w:val="18"/>
                <w:highlight w:val="yellow"/>
              </w:rPr>
              <w:t>1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(b) 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Rozdział: Część A sekcja 1.7, Część O sekcja 7.1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(c) 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Pr="001A4A1E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Rozdział: </w:t>
            </w:r>
            <w:r>
              <w:rPr>
                <w:rFonts w:cs="Calibri"/>
                <w:sz w:val="18"/>
                <w:szCs w:val="18"/>
              </w:rPr>
              <w:t>Część A sekcja 1.7, Część O sekcja 7.1</w:t>
            </w:r>
          </w:p>
          <w:p w:rsidR="0041508A" w:rsidRDefault="0041508A" w:rsidP="00BC4C4F">
            <w:pPr>
              <w:jc w:val="both"/>
              <w:rPr>
                <w:sz w:val="18"/>
                <w:szCs w:val="18"/>
              </w:rPr>
            </w:pPr>
          </w:p>
          <w:p w:rsidR="0041508A" w:rsidRDefault="0041508A" w:rsidP="00BC4C4F">
            <w:pPr>
              <w:jc w:val="both"/>
              <w:rPr>
                <w:sz w:val="18"/>
                <w:szCs w:val="18"/>
              </w:rPr>
            </w:pPr>
          </w:p>
          <w:p w:rsidR="0041508A" w:rsidRPr="00CA7EE1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  <w:tr w:rsidR="0041508A" w:rsidRPr="00CA7EE1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CA7EE1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1508A" w:rsidRPr="00CA7EE1" w:rsidRDefault="0041508A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i/>
                <w:sz w:val="18"/>
                <w:szCs w:val="18"/>
              </w:rPr>
              <w:t>Komentarze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8E57B5" w:rsidRDefault="0041508A" w:rsidP="00BC4C4F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1</w:t>
            </w:r>
            <w:r w:rsidRPr="008E57B5">
              <w:rPr>
                <w:rFonts w:ascii="Calibri" w:hAnsi="Calibri" w:cs="Calibri"/>
                <w:i/>
                <w:sz w:val="18"/>
                <w:szCs w:val="18"/>
              </w:rPr>
              <w:t>Celem jest zarejestrowanie całej procedury obsługi technicznej statku powietrznego i przyczyn jej wykonania (usunięcie wad lub usterek, modyfikacje, planowa obsługa techniczna, itp.)</w:t>
            </w:r>
          </w:p>
          <w:p w:rsidR="0041508A" w:rsidRPr="00CA7EE1" w:rsidRDefault="0041508A" w:rsidP="00BC4C4F">
            <w:pPr>
              <w:jc w:val="both"/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2</w:t>
            </w:r>
            <w:r w:rsidRPr="008E57B5">
              <w:rPr>
                <w:rFonts w:ascii="Calibri" w:hAnsi="Calibri" w:cs="Calibri"/>
                <w:i/>
                <w:sz w:val="18"/>
                <w:szCs w:val="18"/>
              </w:rPr>
              <w:t>Dziennik obsługi technicznej może być wymagany do kontroli/audytu przez właściwy organ lub upoważnionego przedstawiciela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CA7EE1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BC4C4F" w:rsidRPr="00CA7EE1" w:rsidTr="00BC4C4F">
        <w:trPr>
          <w:trHeight w:val="1595"/>
        </w:trPr>
        <w:tc>
          <w:tcPr>
            <w:tcW w:w="2265" w:type="dxa"/>
            <w:vMerge/>
            <w:shd w:val="clear" w:color="auto" w:fill="FBE4D5" w:themeFill="accent2" w:themeFillTint="33"/>
          </w:tcPr>
          <w:p w:rsidR="00BC4C4F" w:rsidRPr="00CA7EE1" w:rsidRDefault="00BC4C4F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BC4C4F" w:rsidRPr="00CA7EE1" w:rsidRDefault="00BC4C4F" w:rsidP="00BC4C4F">
            <w:pPr>
              <w:jc w:val="center"/>
              <w:rPr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Kryterium nr 2</w:t>
            </w:r>
          </w:p>
          <w:p w:rsidR="00BC4C4F" w:rsidRPr="00CA7EE1" w:rsidRDefault="00BC4C4F" w:rsidP="00BC4C4F">
            <w:pPr>
              <w:jc w:val="center"/>
              <w:rPr>
                <w:i/>
                <w:sz w:val="18"/>
                <w:szCs w:val="18"/>
              </w:rPr>
            </w:pPr>
            <w:r w:rsidRPr="00CA7EE1">
              <w:rPr>
                <w:sz w:val="18"/>
                <w:szCs w:val="18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C4C4F" w:rsidRPr="00CA7EE1" w:rsidRDefault="00BC4C4F" w:rsidP="00BC4C4F">
            <w:pPr>
              <w:jc w:val="both"/>
              <w:rPr>
                <w:i/>
                <w:sz w:val="18"/>
                <w:szCs w:val="18"/>
                <w:vertAlign w:val="superscript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Rejestr wszystkich odpowiednich kwalifikacji, doświadczenia i/lub szkoleń ukończonych przez personel obsługi technicznej został stworzony i jest aktualizowany.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Pr="008E57B5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Rozdział: </w:t>
            </w:r>
            <w:r>
              <w:rPr>
                <w:rFonts w:cs="Calibri"/>
                <w:sz w:val="18"/>
                <w:szCs w:val="18"/>
              </w:rPr>
              <w:t>Część A sekcja 1.7</w:t>
            </w:r>
          </w:p>
        </w:tc>
      </w:tr>
    </w:tbl>
    <w:p w:rsidR="0041508A" w:rsidRDefault="0041508A" w:rsidP="0041508A"/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D62E5D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D62E5D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D62E5D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D62E5D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D62E5D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D62E5D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D62E5D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D62E5D" w:rsidRDefault="0041508A" w:rsidP="00BC4C4F">
            <w:pPr>
              <w:jc w:val="center"/>
              <w:rPr>
                <w:sz w:val="18"/>
                <w:szCs w:val="18"/>
              </w:rPr>
            </w:pPr>
            <w:r w:rsidRPr="00D62E5D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D62E5D" w:rsidTr="00BC4C4F">
        <w:trPr>
          <w:trHeight w:val="659"/>
        </w:trPr>
        <w:tc>
          <w:tcPr>
            <w:tcW w:w="2265" w:type="dxa"/>
            <w:shd w:val="clear" w:color="auto" w:fill="FBE4D5" w:themeFill="accent2" w:themeFillTint="33"/>
          </w:tcPr>
          <w:p w:rsidR="0041508A" w:rsidRPr="00D62E5D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04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SBSP opracowano zgodnie z uznanymi standardami projektowania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D62E5D" w:rsidRDefault="0041508A" w:rsidP="00BC4C4F">
            <w:pPr>
              <w:jc w:val="center"/>
              <w:rPr>
                <w:sz w:val="18"/>
                <w:szCs w:val="18"/>
              </w:rPr>
            </w:pPr>
            <w:r w:rsidRPr="00D62E5D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D62E5D" w:rsidRDefault="0041508A" w:rsidP="00BC4C4F">
            <w:pPr>
              <w:jc w:val="both"/>
              <w:rPr>
                <w:sz w:val="18"/>
                <w:szCs w:val="18"/>
              </w:rPr>
            </w:pPr>
            <w:r w:rsidRPr="00D62E5D">
              <w:rPr>
                <w:sz w:val="18"/>
                <w:szCs w:val="18"/>
              </w:rPr>
              <w:t>Według wnioskodawcy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D62E5D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D62E5D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D62E5D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D62E5D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D62E5D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D62E5D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D62E5D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D62E5D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D62E5D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D62E5D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:rsidR="0041508A" w:rsidRPr="00CA7E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D62E5D" w:rsidTr="00BC4C4F">
        <w:tc>
          <w:tcPr>
            <w:tcW w:w="2265" w:type="dxa"/>
            <w:shd w:val="clear" w:color="auto" w:fill="FBE4D5" w:themeFill="accent2" w:themeFillTint="33"/>
          </w:tcPr>
          <w:p w:rsidR="0041508A" w:rsidRPr="00D62E5D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04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SBSP opracowano zgodnie z uznanymi standardami projektowania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D62E5D" w:rsidRDefault="0041508A" w:rsidP="00BC4C4F">
            <w:pPr>
              <w:jc w:val="center"/>
              <w:rPr>
                <w:sz w:val="18"/>
                <w:szCs w:val="18"/>
              </w:rPr>
            </w:pPr>
            <w:r w:rsidRPr="00D62E5D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D62E5D" w:rsidRDefault="0041508A" w:rsidP="00BC4C4F">
            <w:pPr>
              <w:jc w:val="both"/>
              <w:rPr>
                <w:sz w:val="18"/>
                <w:szCs w:val="18"/>
              </w:rPr>
            </w:pPr>
            <w:r w:rsidRPr="00D62E5D">
              <w:rPr>
                <w:sz w:val="18"/>
                <w:szCs w:val="18"/>
              </w:rPr>
              <w:t>Według wnioskodawcy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D62E5D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2A0017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2A0017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2A0017" w:rsidTr="00BC4C4F">
        <w:trPr>
          <w:trHeight w:val="1099"/>
        </w:trPr>
        <w:tc>
          <w:tcPr>
            <w:tcW w:w="2265" w:type="dxa"/>
            <w:shd w:val="clear" w:color="auto" w:fill="FBE4D5" w:themeFill="accent2" w:themeFillTint="33"/>
          </w:tcPr>
          <w:p w:rsidR="0041508A" w:rsidRPr="002A0017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05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SBSP został zaprojektowany z uwzględnieniem kwestii bezpieczeństwa i niezawodności systemu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Według wnioskodawcy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2A0017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2A0017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2A0017" w:rsidTr="00BC4C4F">
        <w:trPr>
          <w:trHeight w:val="1099"/>
        </w:trPr>
        <w:tc>
          <w:tcPr>
            <w:tcW w:w="2265" w:type="dxa"/>
            <w:shd w:val="clear" w:color="auto" w:fill="FBE4D5" w:themeFill="accent2" w:themeFillTint="33"/>
          </w:tcPr>
          <w:p w:rsidR="0041508A" w:rsidRPr="002A0017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05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SBSP został zaprojektowany z uwzględnieniem kwestii bezpieczeństwa i niezawodności systemu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Według wnioskodawcy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2A0017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6B7FE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B7FE7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6B7FE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B7FE7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2A0017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6B7FE7" w:rsidRDefault="0041508A" w:rsidP="00BC4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6B7FE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B7FE7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6B7FE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B7FE7"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2A0017" w:rsidTr="00BC4C4F"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2A0017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06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Charakterystyka łącza C3 (np. efektywność, wykorzystanie widma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RF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) jest odpowiednia dla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(a) </w:t>
            </w:r>
            <w:r w:rsidRPr="002A0017">
              <w:rPr>
                <w:sz w:val="18"/>
                <w:szCs w:val="18"/>
              </w:rPr>
              <w:t>Wniosk</w:t>
            </w:r>
            <w:r>
              <w:rPr>
                <w:sz w:val="18"/>
                <w:szCs w:val="18"/>
              </w:rPr>
              <w:t xml:space="preserve">odawca stwierdza, że </w:t>
            </w:r>
            <w:r w:rsidRPr="002A0017">
              <w:rPr>
                <w:sz w:val="18"/>
                <w:szCs w:val="18"/>
              </w:rPr>
              <w:t>​​</w:t>
            </w:r>
            <w:r>
              <w:rPr>
                <w:sz w:val="18"/>
                <w:szCs w:val="18"/>
              </w:rPr>
              <w:t>efektywność</w:t>
            </w:r>
            <w:r w:rsidRPr="002A0017">
              <w:rPr>
                <w:sz w:val="18"/>
                <w:szCs w:val="18"/>
              </w:rPr>
              <w:t xml:space="preserve"> wykorzystania widma RF</w:t>
            </w:r>
            <w:r w:rsidRPr="002A0017">
              <w:rPr>
                <w:sz w:val="18"/>
                <w:szCs w:val="18"/>
                <w:vertAlign w:val="superscript"/>
              </w:rPr>
              <w:t>1</w:t>
            </w:r>
            <w:r w:rsidRPr="002A0017">
              <w:rPr>
                <w:sz w:val="18"/>
                <w:szCs w:val="18"/>
              </w:rPr>
              <w:t xml:space="preserve"> i warunki środowiskowe dla łączy C3 są wystarczające do bezpiecznego przeprowadzenia </w:t>
            </w:r>
            <w:r>
              <w:rPr>
                <w:sz w:val="18"/>
                <w:szCs w:val="18"/>
              </w:rPr>
              <w:t>planowanej</w:t>
            </w:r>
            <w:r w:rsidRPr="002A0017">
              <w:rPr>
                <w:sz w:val="18"/>
                <w:szCs w:val="18"/>
              </w:rPr>
              <w:t xml:space="preserve"> operacji. </w:t>
            </w:r>
          </w:p>
          <w:p w:rsidR="0041508A" w:rsidRPr="002A0017" w:rsidRDefault="0041508A" w:rsidP="00BC4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(b) </w:t>
            </w:r>
            <w:r w:rsidRPr="002A0017">
              <w:rPr>
                <w:sz w:val="18"/>
                <w:szCs w:val="18"/>
              </w:rPr>
              <w:t xml:space="preserve">Pilot posiada środki do ciągłego monitorowania jakości </w:t>
            </w:r>
            <w:r>
              <w:rPr>
                <w:sz w:val="18"/>
                <w:szCs w:val="18"/>
              </w:rPr>
              <w:t xml:space="preserve">łączy </w:t>
            </w:r>
            <w:r w:rsidRPr="002A0017">
              <w:rPr>
                <w:sz w:val="18"/>
                <w:szCs w:val="18"/>
              </w:rPr>
              <w:t>C3 i zapewnia, że ​​jakość ta nadal spełnia wymagania operacyjne</w:t>
            </w:r>
            <w:r w:rsidRPr="002A0017">
              <w:rPr>
                <w:sz w:val="18"/>
                <w:szCs w:val="18"/>
                <w:vertAlign w:val="superscript"/>
              </w:rPr>
              <w:t>2</w:t>
            </w:r>
            <w:r w:rsidRPr="002A0017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</w:t>
            </w:r>
            <w:r>
              <w:rPr>
                <w:sz w:val="18"/>
                <w:szCs w:val="18"/>
              </w:rPr>
              <w:t>: INOP</w:t>
            </w:r>
          </w:p>
          <w:p w:rsidR="0041508A" w:rsidRDefault="00D804EC" w:rsidP="00BC4C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Rozdział: Część T s</w:t>
            </w:r>
            <w:r w:rsidR="0041508A">
              <w:rPr>
                <w:sz w:val="18"/>
                <w:szCs w:val="18"/>
              </w:rPr>
              <w:t xml:space="preserve">ekcja </w:t>
            </w:r>
            <w:r w:rsidR="0041508A" w:rsidRPr="008B4D79">
              <w:rPr>
                <w:sz w:val="18"/>
                <w:szCs w:val="18"/>
                <w:highlight w:val="yellow"/>
              </w:rPr>
              <w:t>6.1.2</w:t>
            </w:r>
          </w:p>
          <w:p w:rsidR="0041508A" w:rsidRDefault="0041508A" w:rsidP="00BC4C4F">
            <w:pPr>
              <w:jc w:val="both"/>
              <w:rPr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sz w:val="18"/>
                <w:szCs w:val="18"/>
              </w:rPr>
            </w:pPr>
          </w:p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2A0017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i/>
                <w:sz w:val="18"/>
                <w:szCs w:val="18"/>
              </w:rPr>
              <w:t>Komentarze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2A0017" w:rsidRDefault="0041508A" w:rsidP="00BC4C4F">
            <w:pPr>
              <w:jc w:val="both"/>
              <w:rPr>
                <w:i/>
                <w:sz w:val="18"/>
                <w:szCs w:val="18"/>
              </w:rPr>
            </w:pPr>
            <w:r w:rsidRPr="002A0017">
              <w:rPr>
                <w:i/>
                <w:sz w:val="18"/>
                <w:szCs w:val="18"/>
                <w:vertAlign w:val="superscript"/>
              </w:rPr>
              <w:t>1</w:t>
            </w:r>
            <w:r w:rsidRPr="002A0017">
              <w:rPr>
                <w:i/>
                <w:sz w:val="18"/>
                <w:szCs w:val="18"/>
              </w:rPr>
              <w:t>W przypadku niskiego poziomu integralności nielicencjonowane pasma częstotliwości są dopuszczalne tylko w pewnych warunkach, np.:</w:t>
            </w:r>
          </w:p>
          <w:p w:rsidR="0041508A" w:rsidRPr="002A0017" w:rsidRDefault="0041508A" w:rsidP="00BC4C4F">
            <w:pPr>
              <w:jc w:val="both"/>
              <w:rPr>
                <w:i/>
                <w:sz w:val="18"/>
                <w:szCs w:val="18"/>
              </w:rPr>
            </w:pPr>
            <w:r w:rsidRPr="002A0017">
              <w:rPr>
                <w:i/>
                <w:sz w:val="18"/>
                <w:szCs w:val="18"/>
              </w:rPr>
              <w:t xml:space="preserve">a) wnioskodawca wykazuje zgodność z innymi wymogami dotyczącymi wykorzystania </w:t>
            </w:r>
            <w:r>
              <w:rPr>
                <w:i/>
                <w:sz w:val="18"/>
                <w:szCs w:val="18"/>
              </w:rPr>
              <w:t>widma RF (np. dyrektywą 2014/53</w:t>
            </w:r>
            <w:r w:rsidRPr="002A0017">
              <w:rPr>
                <w:i/>
                <w:sz w:val="18"/>
                <w:szCs w:val="18"/>
              </w:rPr>
              <w:t xml:space="preserve">/ UE) demonstrując, że sprzęt </w:t>
            </w:r>
            <w:r>
              <w:rPr>
                <w:i/>
                <w:sz w:val="18"/>
                <w:szCs w:val="18"/>
              </w:rPr>
              <w:t>BSP</w:t>
            </w:r>
            <w:r w:rsidRPr="002A0017">
              <w:rPr>
                <w:i/>
                <w:sz w:val="18"/>
                <w:szCs w:val="18"/>
              </w:rPr>
              <w:t xml:space="preserve"> jest zgodny z tymi wymogami; oraz</w:t>
            </w:r>
          </w:p>
          <w:p w:rsidR="0041508A" w:rsidRPr="002A0017" w:rsidRDefault="0041508A" w:rsidP="00BC4C4F">
            <w:pPr>
              <w:rPr>
                <w:i/>
                <w:sz w:val="18"/>
                <w:szCs w:val="18"/>
              </w:rPr>
            </w:pPr>
            <w:r w:rsidRPr="002A0017">
              <w:rPr>
                <w:i/>
                <w:sz w:val="18"/>
                <w:szCs w:val="18"/>
              </w:rPr>
              <w:t xml:space="preserve">b) stosując mechanizmy chroniące przed zakłóceniami (np. FHSS, </w:t>
            </w:r>
            <w:r w:rsidRPr="002A0017">
              <w:rPr>
                <w:i/>
                <w:sz w:val="18"/>
                <w:szCs w:val="18"/>
              </w:rPr>
              <w:lastRenderedPageBreak/>
              <w:t>usuwanie konfliktów częstotliwości według procedury</w:t>
            </w:r>
            <w:r>
              <w:rPr>
                <w:i/>
                <w:sz w:val="18"/>
                <w:szCs w:val="18"/>
              </w:rPr>
              <w:t xml:space="preserve"> - </w:t>
            </w:r>
            <w:r w:rsidRPr="00FF184B">
              <w:rPr>
                <w:i/>
                <w:color w:val="767171" w:themeColor="background2" w:themeShade="80"/>
                <w:sz w:val="18"/>
                <w:szCs w:val="18"/>
              </w:rPr>
              <w:t xml:space="preserve">to metoda transmisji sygnałów radiowych poprzez szybką zmianę częstotliwości nośnej wśród wielu różnych częstotliwości zajmujących duże pasmo widmowe. Zmiany sterowane są kodem znanym zarówno </w:t>
            </w:r>
            <w:hyperlink r:id="rId6" w:tooltip="Nadajnik" w:history="1">
              <w:r w:rsidRPr="00FF184B">
                <w:rPr>
                  <w:i/>
                  <w:color w:val="767171" w:themeColor="background2" w:themeShade="80"/>
                  <w:sz w:val="18"/>
                  <w:szCs w:val="18"/>
                </w:rPr>
                <w:t>nadajnikowi</w:t>
              </w:r>
            </w:hyperlink>
            <w:r w:rsidRPr="00FF184B">
              <w:rPr>
                <w:i/>
                <w:color w:val="767171" w:themeColor="background2" w:themeShade="80"/>
                <w:sz w:val="18"/>
                <w:szCs w:val="18"/>
              </w:rPr>
              <w:t xml:space="preserve"> , jak i </w:t>
            </w:r>
            <w:hyperlink r:id="rId7" w:tooltip="Odbiornik (radio)" w:history="1">
              <w:r w:rsidRPr="00FF184B">
                <w:rPr>
                  <w:i/>
                  <w:color w:val="767171" w:themeColor="background2" w:themeShade="80"/>
                  <w:sz w:val="18"/>
                  <w:szCs w:val="18"/>
                </w:rPr>
                <w:t>odbiornikowi</w:t>
              </w:r>
            </w:hyperlink>
            <w:r w:rsidRPr="00FF184B">
              <w:rPr>
                <w:i/>
                <w:color w:val="767171" w:themeColor="background2" w:themeShade="80"/>
                <w:sz w:val="18"/>
                <w:szCs w:val="18"/>
              </w:rPr>
              <w:t xml:space="preserve"> . FHSS służy do unikania zakłóceń, z</w:t>
            </w:r>
            <w:r>
              <w:rPr>
                <w:i/>
                <w:color w:val="767171" w:themeColor="background2" w:themeShade="80"/>
                <w:sz w:val="18"/>
                <w:szCs w:val="18"/>
              </w:rPr>
              <w:t>apobiegania podsłuchiwania</w:t>
            </w:r>
            <w:r w:rsidRPr="00FF184B">
              <w:rPr>
                <w:i/>
                <w:color w:val="767171" w:themeColor="background2" w:themeShade="80"/>
                <w:sz w:val="18"/>
                <w:szCs w:val="18"/>
              </w:rPr>
              <w:t xml:space="preserve"> i umożliwiania komunikacji </w:t>
            </w:r>
            <w:hyperlink r:id="rId8" w:tooltip="Wielodostęp z podziałem kodu" w:history="1">
              <w:r w:rsidRPr="00FF184B">
                <w:rPr>
                  <w:i/>
                  <w:color w:val="767171" w:themeColor="background2" w:themeShade="80"/>
                  <w:sz w:val="18"/>
                  <w:szCs w:val="18"/>
                </w:rPr>
                <w:t>z wielokrotnym dostępem z podziałem kodu</w:t>
              </w:r>
            </w:hyperlink>
            <w:r w:rsidRPr="00FF184B">
              <w:rPr>
                <w:color w:val="767171" w:themeColor="background2" w:themeShade="80"/>
              </w:rPr>
              <w:t xml:space="preserve"> </w:t>
            </w:r>
            <w:r w:rsidRPr="00FF184B">
              <w:rPr>
                <w:i/>
                <w:color w:val="767171" w:themeColor="background2" w:themeShade="80"/>
                <w:sz w:val="18"/>
                <w:szCs w:val="18"/>
              </w:rPr>
              <w:t>(CDMA)</w:t>
            </w:r>
            <w:r w:rsidRPr="00FF184B">
              <w:rPr>
                <w:i/>
                <w:color w:val="000000" w:themeColor="text1"/>
                <w:sz w:val="18"/>
                <w:szCs w:val="18"/>
              </w:rPr>
              <w:t>).</w:t>
            </w:r>
          </w:p>
          <w:p w:rsidR="0041508A" w:rsidRPr="002A0017" w:rsidRDefault="0041508A" w:rsidP="00BC4C4F">
            <w:pPr>
              <w:rPr>
                <w:sz w:val="18"/>
                <w:szCs w:val="18"/>
              </w:rPr>
            </w:pPr>
            <w:r w:rsidRPr="002A0017">
              <w:rPr>
                <w:i/>
                <w:sz w:val="18"/>
                <w:szCs w:val="18"/>
                <w:vertAlign w:val="superscript"/>
              </w:rPr>
              <w:t>2</w:t>
            </w:r>
            <w:r w:rsidRPr="002A0017">
              <w:rPr>
                <w:i/>
                <w:sz w:val="18"/>
                <w:szCs w:val="18"/>
              </w:rPr>
              <w:t>Pilot</w:t>
            </w:r>
            <w:r>
              <w:rPr>
                <w:i/>
                <w:sz w:val="18"/>
                <w:szCs w:val="18"/>
              </w:rPr>
              <w:t xml:space="preserve"> BSP</w:t>
            </w:r>
            <w:r w:rsidRPr="002A0017">
              <w:rPr>
                <w:i/>
                <w:sz w:val="18"/>
                <w:szCs w:val="18"/>
              </w:rPr>
              <w:t xml:space="preserve"> posiada stały i </w:t>
            </w:r>
            <w:r>
              <w:rPr>
                <w:i/>
                <w:sz w:val="18"/>
                <w:szCs w:val="18"/>
              </w:rPr>
              <w:t>aktualny</w:t>
            </w:r>
            <w:r w:rsidRPr="002A0017">
              <w:rPr>
                <w:i/>
                <w:sz w:val="18"/>
                <w:szCs w:val="18"/>
              </w:rPr>
              <w:t xml:space="preserve"> dostęp do odpowiednich informacji C3, które mogą mieć wpływ na bezpieczeństwo lotu. W przypadku operacji wymagających </w:t>
            </w:r>
            <w:r>
              <w:rPr>
                <w:i/>
                <w:sz w:val="18"/>
                <w:szCs w:val="18"/>
              </w:rPr>
              <w:t>tylko</w:t>
            </w:r>
            <w:r w:rsidRPr="002A0017">
              <w:rPr>
                <w:i/>
                <w:sz w:val="18"/>
                <w:szCs w:val="18"/>
              </w:rPr>
              <w:t xml:space="preserve"> niskiego poziomu integralności dla tego OSO, można to osiągnąć poprzez monitorowanie siły sygnału łącza C2 i otrzymywanie ostrzeżenia z</w:t>
            </w:r>
            <w:r>
              <w:rPr>
                <w:i/>
                <w:sz w:val="18"/>
                <w:szCs w:val="18"/>
              </w:rPr>
              <w:t xml:space="preserve"> interfejsu</w:t>
            </w:r>
            <w:r w:rsidRPr="002A0017">
              <w:rPr>
                <w:i/>
                <w:sz w:val="18"/>
                <w:szCs w:val="18"/>
              </w:rPr>
              <w:t xml:space="preserve"> HMI </w:t>
            </w:r>
            <w:r>
              <w:rPr>
                <w:i/>
                <w:sz w:val="18"/>
                <w:szCs w:val="18"/>
              </w:rPr>
              <w:t>BSP</w:t>
            </w:r>
            <w:r w:rsidRPr="002A0017">
              <w:rPr>
                <w:i/>
                <w:sz w:val="18"/>
                <w:szCs w:val="18"/>
              </w:rPr>
              <w:t>, jeśli siła sygnału stanie się zbyt niska.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2A0017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2A0017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2A0017" w:rsidTr="00BC4C4F">
        <w:tc>
          <w:tcPr>
            <w:tcW w:w="2265" w:type="dxa"/>
            <w:shd w:val="clear" w:color="auto" w:fill="FBE4D5" w:themeFill="accent2" w:themeFillTint="33"/>
          </w:tcPr>
          <w:p w:rsidR="0041508A" w:rsidRPr="002A0017" w:rsidRDefault="0041508A" w:rsidP="00BC4C4F">
            <w:pPr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06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Charakterystyka łącza C3 (np. efektywność, wykorzystanie widma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RF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) jest odpowiednia dla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 w:rsidRPr="008E35BD">
              <w:rPr>
                <w:sz w:val="18"/>
                <w:szCs w:val="18"/>
              </w:rPr>
              <w:t>Wnioskodawca oświadcza, że wymagany poziom integralności został osiągnięty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2A0017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2A0017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2A0017" w:rsidTr="00BC4C4F">
        <w:trPr>
          <w:trHeight w:val="1099"/>
        </w:trPr>
        <w:tc>
          <w:tcPr>
            <w:tcW w:w="2265" w:type="dxa"/>
            <w:shd w:val="clear" w:color="auto" w:fill="FBE4D5" w:themeFill="accent2" w:themeFillTint="33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07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 xml:space="preserve">Inspekcja BSP w celu zapewnienia zgodności z </w:t>
            </w:r>
            <w:proofErr w:type="spellStart"/>
            <w:r w:rsidRPr="008E57B5">
              <w:rPr>
                <w:rFonts w:ascii="Calibri" w:hAnsi="Calibri" w:cs="Calibri"/>
                <w:sz w:val="18"/>
                <w:szCs w:val="18"/>
              </w:rPr>
              <w:t>ConOps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Personel zapewnia, że ​​BSP jest w stanie umożliwiającym bezpieczną eksploatację i jest zgodny z zatwierdzonym </w:t>
            </w:r>
            <w:proofErr w:type="spellStart"/>
            <w:r w:rsidRPr="008E57B5">
              <w:rPr>
                <w:rFonts w:ascii="Calibri" w:hAnsi="Calibri" w:cs="Calibri"/>
                <w:sz w:val="18"/>
                <w:szCs w:val="18"/>
              </w:rPr>
              <w:t>ConOps</w:t>
            </w:r>
            <w:proofErr w:type="spellEnd"/>
            <w:r w:rsidRPr="008E57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Default="00D804EC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Rozdział: Część </w:t>
            </w:r>
            <w:r w:rsidR="001E6750">
              <w:rPr>
                <w:rFonts w:cs="Calibri"/>
                <w:sz w:val="18"/>
                <w:szCs w:val="18"/>
              </w:rPr>
              <w:t>C</w:t>
            </w:r>
            <w:r w:rsidR="00BC4C4F">
              <w:rPr>
                <w:rFonts w:cs="Calibri"/>
                <w:sz w:val="18"/>
                <w:szCs w:val="18"/>
              </w:rPr>
              <w:t xml:space="preserve"> sekcja </w:t>
            </w:r>
            <w:r w:rsidR="00BC4C4F" w:rsidRPr="00F926CD">
              <w:rPr>
                <w:rFonts w:cs="Calibri"/>
                <w:sz w:val="18"/>
                <w:szCs w:val="18"/>
                <w:highlight w:val="yellow"/>
              </w:rPr>
              <w:t>3.</w:t>
            </w:r>
            <w:r w:rsidR="00912C59" w:rsidRPr="00912C59">
              <w:rPr>
                <w:rFonts w:cs="Calibri"/>
                <w:sz w:val="18"/>
                <w:szCs w:val="18"/>
                <w:highlight w:val="yellow"/>
              </w:rPr>
              <w:t>1</w:t>
            </w:r>
            <w:r w:rsidR="00BC4C4F" w:rsidRPr="00F926CD">
              <w:rPr>
                <w:rFonts w:cs="Calibri"/>
                <w:sz w:val="18"/>
                <w:szCs w:val="18"/>
                <w:highlight w:val="yellow"/>
              </w:rPr>
              <w:t>.</w:t>
            </w:r>
            <w:r w:rsidR="00912C59" w:rsidRPr="00F926CD">
              <w:rPr>
                <w:rFonts w:cs="Calibri"/>
                <w:sz w:val="18"/>
                <w:szCs w:val="18"/>
                <w:highlight w:val="yellow"/>
              </w:rPr>
              <w:t>5</w:t>
            </w:r>
          </w:p>
          <w:p w:rsidR="00BC4C4F" w:rsidRPr="001A4A1E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2A0017" w:rsidRDefault="00BC4C4F" w:rsidP="00BC4C4F">
            <w:pPr>
              <w:jc w:val="both"/>
              <w:rPr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2A0017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PROBLEM TECHNICZNY Z BSP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2A0017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2A0017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0017">
              <w:rPr>
                <w:b/>
                <w:sz w:val="18"/>
                <w:szCs w:val="18"/>
              </w:rPr>
              <w:t>Uzupełnia wnioskujący</w:t>
            </w:r>
          </w:p>
        </w:tc>
      </w:tr>
      <w:tr w:rsidR="0041508A" w:rsidRPr="002A0017" w:rsidTr="00BC4C4F"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OSO#</w:t>
            </w:r>
            <w:r>
              <w:rPr>
                <w:rFonts w:cs="Calibri"/>
                <w:sz w:val="18"/>
                <w:szCs w:val="18"/>
              </w:rPr>
              <w:t xml:space="preserve">07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 xml:space="preserve">Inspekcja BSP w celu zapewnienia zgodności z </w:t>
            </w:r>
            <w:proofErr w:type="spellStart"/>
            <w:r w:rsidRPr="008E57B5">
              <w:rPr>
                <w:rFonts w:ascii="Calibri" w:hAnsi="Calibri" w:cs="Calibri"/>
                <w:sz w:val="18"/>
                <w:szCs w:val="18"/>
              </w:rPr>
              <w:t>ConOps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Kryterium nr 1</w:t>
            </w:r>
          </w:p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(Procedury)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Inspekcja BSP jest udokumentowana i uwzględnia zalecenia producenta, jeśli są dostępne.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Rozdział: </w:t>
            </w:r>
            <w:r w:rsidR="00D804EC">
              <w:rPr>
                <w:rFonts w:cs="Calibri"/>
                <w:sz w:val="18"/>
                <w:szCs w:val="18"/>
              </w:rPr>
              <w:t>Część A</w:t>
            </w:r>
            <w:r>
              <w:rPr>
                <w:rFonts w:cs="Calibri"/>
                <w:sz w:val="18"/>
                <w:szCs w:val="18"/>
              </w:rPr>
              <w:t xml:space="preserve"> sekcja 1.7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2A0017" w:rsidRDefault="00BC4C4F" w:rsidP="00BC4C4F">
            <w:pPr>
              <w:jc w:val="both"/>
              <w:rPr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  <w:tr w:rsidR="0041508A" w:rsidRPr="002A0017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Kryterium nr 2</w:t>
            </w:r>
          </w:p>
          <w:p w:rsidR="0041508A" w:rsidRPr="002A0017" w:rsidRDefault="0041508A" w:rsidP="00BC4C4F">
            <w:pPr>
              <w:jc w:val="center"/>
              <w:rPr>
                <w:sz w:val="18"/>
                <w:szCs w:val="18"/>
              </w:rPr>
            </w:pPr>
            <w:r w:rsidRPr="002A0017">
              <w:rPr>
                <w:sz w:val="18"/>
                <w:szCs w:val="18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0017" w:rsidRDefault="0041508A" w:rsidP="00BC4C4F">
            <w:pPr>
              <w:jc w:val="both"/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Personel jest przeszkolony do przeprowadzania inspekcji BSP, a szkolenie </w:t>
            </w:r>
            <w:r w:rsidRPr="008E57B5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zostało zadeklarowane, jako przeprowadzone samodzielnie (z dostępnymi </w:t>
            </w:r>
            <w:r>
              <w:rPr>
                <w:rFonts w:ascii="Calibri" w:hAnsi="Calibri" w:cs="Calibri"/>
                <w:sz w:val="18"/>
                <w:szCs w:val="18"/>
              </w:rPr>
              <w:t>dokumentami potwierdzającymi)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lastRenderedPageBreak/>
              <w:t>Nazwa dokumentu: INOP</w:t>
            </w: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Rozdział: Część D, 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 xml:space="preserve">Załącznik 8.2.4 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5B050C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5B050C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5B050C">
              <w:rPr>
                <w:b/>
                <w:sz w:val="18"/>
                <w:szCs w:val="18"/>
              </w:rPr>
              <w:t>PROCEDURY OPERACYJNE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5B050C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5B050C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5B050C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5B050C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5B050C" w:rsidRDefault="0041508A" w:rsidP="00BC4C4F">
            <w:pPr>
              <w:jc w:val="center"/>
              <w:rPr>
                <w:sz w:val="18"/>
                <w:szCs w:val="18"/>
              </w:rPr>
            </w:pPr>
            <w:r w:rsidRPr="005B050C">
              <w:rPr>
                <w:b/>
                <w:sz w:val="18"/>
                <w:szCs w:val="18"/>
              </w:rPr>
              <w:t>Średni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5B050C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5B050C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5B050C" w:rsidTr="00BC4C4F"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6B68CC" w:rsidRDefault="0041508A" w:rsidP="00BC4C4F">
            <w:pPr>
              <w:jc w:val="both"/>
              <w:rPr>
                <w:sz w:val="18"/>
                <w:szCs w:val="18"/>
              </w:rPr>
            </w:pPr>
          </w:p>
          <w:p w:rsidR="0041508A" w:rsidRPr="00530A36" w:rsidRDefault="0041508A" w:rsidP="00BC4C4F">
            <w:pPr>
              <w:jc w:val="both"/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OSO#08, OSO#11, OSO#14 </w:t>
            </w:r>
            <w:r>
              <w:rPr>
                <w:rFonts w:cs="Calibri"/>
                <w:sz w:val="18"/>
                <w:szCs w:val="18"/>
              </w:rPr>
              <w:t>i 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OSO#21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5B050C" w:rsidRDefault="0041508A" w:rsidP="00BC4C4F">
            <w:pPr>
              <w:jc w:val="center"/>
              <w:rPr>
                <w:sz w:val="18"/>
                <w:szCs w:val="18"/>
              </w:rPr>
            </w:pPr>
            <w:r w:rsidRPr="005B050C">
              <w:rPr>
                <w:sz w:val="18"/>
                <w:szCs w:val="18"/>
              </w:rPr>
              <w:t>Kryterium nr 1</w:t>
            </w:r>
          </w:p>
          <w:p w:rsidR="0041508A" w:rsidRPr="005B050C" w:rsidRDefault="0041508A" w:rsidP="00A53E7D">
            <w:pPr>
              <w:jc w:val="center"/>
              <w:rPr>
                <w:sz w:val="18"/>
                <w:szCs w:val="18"/>
              </w:rPr>
            </w:pPr>
            <w:r w:rsidRPr="005B050C">
              <w:rPr>
                <w:sz w:val="18"/>
                <w:szCs w:val="18"/>
              </w:rPr>
              <w:t>(</w:t>
            </w:r>
            <w:r w:rsidR="00A53E7D">
              <w:rPr>
                <w:sz w:val="18"/>
                <w:szCs w:val="18"/>
              </w:rPr>
              <w:t>Definicja procedury</w:t>
            </w:r>
            <w:r w:rsidRPr="005B050C">
              <w:rPr>
                <w:sz w:val="18"/>
                <w:szCs w:val="18"/>
              </w:rPr>
              <w:t>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(a) Procedury operacyjne</w:t>
            </w:r>
            <w:r w:rsidRPr="008E57B5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8E57B5">
              <w:rPr>
                <w:rFonts w:ascii="Calibri" w:hAnsi="Calibri" w:cs="Calibri"/>
                <w:sz w:val="18"/>
                <w:szCs w:val="18"/>
              </w:rPr>
              <w:t xml:space="preserve"> odpowiednie dla proponowanej operacji zostały określone i obejmują, co najmniej następujące elementy: 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(1) planowanie lotu; 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(2) inspekcje przed lotem i po locie; 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(3) procedury oceny warunków środowiskowych przed misją i podczas misji (tj. ocena w czasie rzeczywistym); 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(4) procedury postępowania w przypadku nieoczekiwanych, niekorzystnych warunków operacyjnych (np. w przypadku oblodzenia BSP podczas operacji niezatwierdzonej do takich warunków lotu)  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5) normalne procedury; 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6) procedury bezpieczeństwa; 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7) procedury awaryjne; 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8) procedury zgłaszania zdarzeń;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(b) w INOP określono ograniczenia systemów zewnętrznych, wspierających operacje przy użyciu BSP</w:t>
            </w:r>
            <w:r w:rsidRPr="008E57B5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1508A" w:rsidRPr="008E57B5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>Uwaga: w INOP zestawiono procedury normalne, bezpieczeństwa i awaryjne.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Rozdział: Część B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Część C sekcja </w:t>
            </w:r>
            <w:r w:rsidRPr="00F926CD">
              <w:rPr>
                <w:rFonts w:cs="Calibri"/>
                <w:sz w:val="18"/>
                <w:szCs w:val="18"/>
                <w:highlight w:val="yellow"/>
              </w:rPr>
              <w:t>3.</w:t>
            </w:r>
            <w:r w:rsidR="008B507A" w:rsidRPr="00F926CD">
              <w:rPr>
                <w:rFonts w:cs="Calibri"/>
                <w:sz w:val="18"/>
                <w:szCs w:val="18"/>
                <w:highlight w:val="yellow"/>
              </w:rPr>
              <w:t>1.5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Część E sekcja 5.8,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5B050C" w:rsidRDefault="00BC4C4F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5B050C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1508A" w:rsidRPr="005B050C" w:rsidRDefault="0041508A" w:rsidP="00BC4C4F">
            <w:pPr>
              <w:jc w:val="center"/>
              <w:rPr>
                <w:sz w:val="18"/>
                <w:szCs w:val="18"/>
              </w:rPr>
            </w:pPr>
            <w:r w:rsidRPr="005B050C">
              <w:rPr>
                <w:i/>
                <w:sz w:val="18"/>
                <w:szCs w:val="18"/>
              </w:rPr>
              <w:t>Komentarze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1</w:t>
            </w:r>
            <w:r w:rsidRPr="008E57B5">
              <w:rPr>
                <w:rFonts w:ascii="Calibri" w:hAnsi="Calibri" w:cs="Calibri"/>
                <w:i/>
                <w:sz w:val="18"/>
                <w:szCs w:val="18"/>
              </w:rPr>
              <w:t>Procedury operacyjne obejmują pogorszenie</w:t>
            </w:r>
            <w:r w:rsidRPr="008E57B5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3</w:t>
            </w:r>
            <w:r w:rsidRPr="008E57B5">
              <w:rPr>
                <w:rFonts w:ascii="Calibri" w:hAnsi="Calibri" w:cs="Calibri"/>
                <w:i/>
                <w:sz w:val="18"/>
                <w:szCs w:val="18"/>
              </w:rPr>
              <w:t xml:space="preserve"> samego SBSP i wszelkich systemów zewnętrznych wspierających operację. </w:t>
            </w:r>
          </w:p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</w:rPr>
              <w:t xml:space="preserve">Aby właściwie odnieść się do pogorszenia stanu jakości systemów zewnętrznych wspierających operację, zaleca się: </w:t>
            </w:r>
          </w:p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</w:rPr>
              <w:t xml:space="preserve">(a) zidentyfikować te "systemy zewnętrzne"; </w:t>
            </w:r>
          </w:p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</w:rPr>
              <w:t xml:space="preserve">(b) zidentyfikować tryby pogorszenia "systemów zewnętrznych" (np. całkowita utrata GNSS, </w:t>
            </w:r>
            <w:r w:rsidRPr="008E57B5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 xml:space="preserve">GDOP/PDOP, problemy z opóźnieniem itp.), które doprowadziłyby do utraty kontroli nad operacją; </w:t>
            </w:r>
          </w:p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</w:rPr>
              <w:t xml:space="preserve">(c) opisać środki wykrywania trybów pogorszenia systemów zewnętrznych ; oraz </w:t>
            </w:r>
          </w:p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</w:rPr>
              <w:t>(d) opisać procedurę (procedury) stosowane w przypadku wykrycia pogorszenia (np. aktywacja funkcji odzyskiwania awaryjnego, zmiana na sterowanie ręczne itp.)</w:t>
            </w:r>
          </w:p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2</w:t>
            </w:r>
            <w:r w:rsidRPr="008E57B5">
              <w:rPr>
                <w:rFonts w:ascii="Calibri" w:hAnsi="Calibri" w:cs="Calibri"/>
                <w:i/>
                <w:sz w:val="18"/>
                <w:szCs w:val="18"/>
              </w:rPr>
              <w:t xml:space="preserve">W ramach tej oceny, systemy zewnętrzne wspierające operację są zdefiniowane, jako systemy, które nie są jeszcze częścią BSP, ale są wykorzystywane do: </w:t>
            </w:r>
          </w:p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8E57B5">
              <w:rPr>
                <w:rFonts w:ascii="Calibri" w:hAnsi="Calibri" w:cs="Calibri"/>
                <w:i/>
                <w:sz w:val="18"/>
                <w:szCs w:val="18"/>
              </w:rPr>
              <w:t xml:space="preserve">a) uruchomienia/startu BSP;  </w:t>
            </w:r>
          </w:p>
          <w:p w:rsidR="0041508A" w:rsidRPr="006F3B52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 xml:space="preserve">b) przeprowadzania kontroli przed lotem; lub </w:t>
            </w:r>
          </w:p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 xml:space="preserve">c) utrzymywania BSP w granicach swojej 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przestrzeni</w:t>
            </w:r>
            <w:r w:rsidRPr="006F3B52">
              <w:rPr>
                <w:rFonts w:ascii="Calibri" w:hAnsi="Calibri" w:cs="Calibri"/>
                <w:sz w:val="18"/>
                <w:szCs w:val="18"/>
              </w:rPr>
              <w:t xml:space="preserve"> operacyjnej (np. GNSS, systemy satelitarne, zarządzanie ruchem lotniczym, U-</w:t>
            </w:r>
            <w:proofErr w:type="spellStart"/>
            <w:r w:rsidRPr="006F3B52">
              <w:rPr>
                <w:rFonts w:ascii="Calibri" w:hAnsi="Calibri" w:cs="Calibri"/>
                <w:sz w:val="18"/>
                <w:szCs w:val="18"/>
              </w:rPr>
              <w:t>space</w:t>
            </w:r>
            <w:proofErr w:type="spellEnd"/>
            <w:r w:rsidRPr="006F3B52">
              <w:rPr>
                <w:rFonts w:ascii="Calibri" w:hAnsi="Calibri" w:cs="Calibri"/>
                <w:sz w:val="18"/>
                <w:szCs w:val="18"/>
              </w:rPr>
              <w:t xml:space="preserve">). </w:t>
            </w:r>
          </w:p>
          <w:p w:rsidR="0041508A" w:rsidRPr="008E57B5" w:rsidRDefault="0041508A" w:rsidP="00BC4C4F">
            <w:pPr>
              <w:spacing w:line="259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Systemy zewnętrzne</w:t>
            </w:r>
            <w:r w:rsidRPr="008E57B5">
              <w:rPr>
                <w:rFonts w:ascii="Calibri" w:hAnsi="Calibri" w:cs="Calibri"/>
                <w:i/>
                <w:sz w:val="18"/>
                <w:szCs w:val="18"/>
              </w:rPr>
              <w:t xml:space="preserve"> aktywowane/używane po utracie kontroli nad operacją są wyłączone z tej definicji. 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5B050C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5B050C" w:rsidRDefault="0041508A" w:rsidP="00BC4C4F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5B050C">
              <w:rPr>
                <w:sz w:val="18"/>
                <w:szCs w:val="18"/>
              </w:rPr>
              <w:t>Kryterium nr 2</w:t>
            </w:r>
          </w:p>
          <w:p w:rsidR="0041508A" w:rsidRPr="005B050C" w:rsidRDefault="0041508A" w:rsidP="00BC4C4F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5B050C">
              <w:rPr>
                <w:sz w:val="18"/>
                <w:szCs w:val="18"/>
              </w:rPr>
              <w:t>(Złożoność procedury)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5B050C" w:rsidRDefault="0041508A" w:rsidP="00BC4C4F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5B050C">
              <w:rPr>
                <w:sz w:val="18"/>
                <w:szCs w:val="18"/>
              </w:rPr>
              <w:t xml:space="preserve">Procedury bezpieczeństwa </w:t>
            </w:r>
            <w:r>
              <w:rPr>
                <w:sz w:val="18"/>
                <w:szCs w:val="18"/>
              </w:rPr>
              <w:t>/awaryjne</w:t>
            </w:r>
            <w:r w:rsidRPr="005B050C">
              <w:rPr>
                <w:sz w:val="18"/>
                <w:szCs w:val="18"/>
              </w:rPr>
              <w:t xml:space="preserve"> wymagają manualnego sterowania BSP </w:t>
            </w:r>
            <w:r>
              <w:rPr>
                <w:sz w:val="18"/>
                <w:szCs w:val="18"/>
              </w:rPr>
              <w:t>przez pilota</w:t>
            </w:r>
            <w:r w:rsidRPr="005B050C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, </w:t>
            </w:r>
            <w:r w:rsidRPr="005B050C">
              <w:rPr>
                <w:sz w:val="18"/>
                <w:szCs w:val="18"/>
              </w:rPr>
              <w:t>podczas gdy BSP jest zwykle sterowany automatycznie.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41508A" w:rsidRDefault="00D804EC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Rozdział: Część B s</w:t>
            </w:r>
            <w:r w:rsidR="0041508A">
              <w:rPr>
                <w:rFonts w:cs="Calibri"/>
                <w:sz w:val="18"/>
                <w:szCs w:val="18"/>
              </w:rPr>
              <w:t>ekcja 2</w:t>
            </w:r>
          </w:p>
          <w:p w:rsidR="0041508A" w:rsidRDefault="0041508A" w:rsidP="00BC4C4F">
            <w:pPr>
              <w:jc w:val="both"/>
              <w:rPr>
                <w:sz w:val="18"/>
                <w:szCs w:val="18"/>
              </w:rPr>
            </w:pPr>
          </w:p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5B050C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1508A" w:rsidRPr="00AC3E1E" w:rsidRDefault="0041508A" w:rsidP="00BC4C4F">
            <w:pPr>
              <w:jc w:val="center"/>
              <w:rPr>
                <w:i/>
                <w:sz w:val="18"/>
                <w:szCs w:val="18"/>
              </w:rPr>
            </w:pPr>
            <w:r w:rsidRPr="00AC3E1E">
              <w:rPr>
                <w:i/>
                <w:sz w:val="18"/>
                <w:szCs w:val="18"/>
              </w:rPr>
              <w:t>Komentarze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8E35BD" w:rsidRDefault="0041508A" w:rsidP="00BC4C4F">
            <w:pPr>
              <w:jc w:val="both"/>
              <w:rPr>
                <w:i/>
                <w:sz w:val="18"/>
                <w:szCs w:val="18"/>
                <w:vertAlign w:val="superscript"/>
              </w:rPr>
            </w:pPr>
            <w:r w:rsidRPr="005B050C">
              <w:rPr>
                <w:i/>
                <w:sz w:val="18"/>
                <w:szCs w:val="18"/>
                <w:vertAlign w:val="superscript"/>
              </w:rPr>
              <w:t>2</w:t>
            </w:r>
            <w:r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Pr="008E35BD">
              <w:rPr>
                <w:i/>
                <w:sz w:val="18"/>
                <w:szCs w:val="18"/>
              </w:rPr>
              <w:t xml:space="preserve">Należy wziąć pod uwagę, że nie wszystkie </w:t>
            </w:r>
            <w:r>
              <w:rPr>
                <w:i/>
                <w:sz w:val="18"/>
                <w:szCs w:val="18"/>
              </w:rPr>
              <w:t>BSP</w:t>
            </w:r>
            <w:r w:rsidRPr="008E35BD">
              <w:rPr>
                <w:i/>
                <w:sz w:val="18"/>
                <w:szCs w:val="18"/>
              </w:rPr>
              <w:t xml:space="preserve"> mają tryb, w którym pilot </w:t>
            </w:r>
            <w:r>
              <w:rPr>
                <w:i/>
                <w:sz w:val="18"/>
                <w:szCs w:val="18"/>
              </w:rPr>
              <w:t xml:space="preserve">BSP </w:t>
            </w:r>
            <w:r w:rsidRPr="008E35BD">
              <w:rPr>
                <w:i/>
                <w:sz w:val="18"/>
                <w:szCs w:val="18"/>
              </w:rPr>
              <w:t>może bezpośr</w:t>
            </w:r>
            <w:r>
              <w:rPr>
                <w:i/>
                <w:sz w:val="18"/>
                <w:szCs w:val="18"/>
              </w:rPr>
              <w:t xml:space="preserve">ednio kontrolować powierzchnie; </w:t>
            </w:r>
            <w:r w:rsidRPr="008E35BD">
              <w:rPr>
                <w:i/>
                <w:sz w:val="18"/>
                <w:szCs w:val="18"/>
              </w:rPr>
              <w:t>ponadto może to wymagać znacznych umiejętności, aby nie pogorszyć sytuacji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5B050C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5B050C" w:rsidRDefault="0041508A" w:rsidP="00BC4C4F">
            <w:pPr>
              <w:jc w:val="center"/>
              <w:rPr>
                <w:sz w:val="18"/>
                <w:szCs w:val="18"/>
              </w:rPr>
            </w:pPr>
            <w:r w:rsidRPr="005B050C">
              <w:rPr>
                <w:sz w:val="18"/>
                <w:szCs w:val="18"/>
              </w:rPr>
              <w:t xml:space="preserve">Kryterium nr 3 </w:t>
            </w:r>
          </w:p>
          <w:p w:rsidR="0041508A" w:rsidRPr="005B050C" w:rsidRDefault="0041508A" w:rsidP="00BC4C4F">
            <w:pPr>
              <w:jc w:val="center"/>
              <w:rPr>
                <w:sz w:val="18"/>
                <w:szCs w:val="18"/>
              </w:rPr>
            </w:pPr>
            <w:r w:rsidRPr="005B050C">
              <w:rPr>
                <w:sz w:val="18"/>
                <w:szCs w:val="18"/>
              </w:rPr>
              <w:t>(Uwzględnienie potencjalnego błędu ludzkiego)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5B050C" w:rsidRDefault="0041508A" w:rsidP="00BC4C4F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5B050C">
              <w:rPr>
                <w:sz w:val="18"/>
                <w:szCs w:val="18"/>
              </w:rPr>
              <w:t>Procedury operacyjne uwzględniają błąd ludzki.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5B050C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5B050C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5B050C">
              <w:rPr>
                <w:b/>
                <w:sz w:val="18"/>
                <w:szCs w:val="18"/>
              </w:rPr>
              <w:t>PROCEDURY OPERACYJNE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5B050C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5B050C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5B050C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5B050C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5B050C" w:rsidRDefault="0041508A" w:rsidP="00BC4C4F">
            <w:pPr>
              <w:jc w:val="center"/>
              <w:rPr>
                <w:sz w:val="18"/>
                <w:szCs w:val="18"/>
              </w:rPr>
            </w:pPr>
            <w:r w:rsidRPr="005B050C">
              <w:rPr>
                <w:b/>
                <w:sz w:val="18"/>
                <w:szCs w:val="18"/>
              </w:rPr>
              <w:t>Średni</w:t>
            </w:r>
          </w:p>
        </w:tc>
        <w:tc>
          <w:tcPr>
            <w:tcW w:w="2266" w:type="dxa"/>
            <w:shd w:val="clear" w:color="auto" w:fill="92D050"/>
          </w:tcPr>
          <w:p w:rsidR="0041508A" w:rsidRPr="005B050C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5B050C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5B050C" w:rsidTr="00BC4C4F">
        <w:tc>
          <w:tcPr>
            <w:tcW w:w="2265" w:type="dxa"/>
            <w:shd w:val="clear" w:color="auto" w:fill="FBE4D5" w:themeFill="accent2" w:themeFillTint="33"/>
          </w:tcPr>
          <w:p w:rsidR="0041508A" w:rsidRPr="00530A36" w:rsidRDefault="0041508A" w:rsidP="00BC4C4F">
            <w:pPr>
              <w:jc w:val="both"/>
              <w:rPr>
                <w:sz w:val="18"/>
                <w:szCs w:val="18"/>
              </w:rPr>
            </w:pPr>
            <w:r w:rsidRPr="008E57B5">
              <w:rPr>
                <w:rFonts w:ascii="Calibri" w:hAnsi="Calibri" w:cs="Calibri"/>
                <w:sz w:val="18"/>
                <w:szCs w:val="18"/>
              </w:rPr>
              <w:t xml:space="preserve">OSO#08, OSO#11, OSO#14 </w:t>
            </w:r>
            <w:r>
              <w:rPr>
                <w:rFonts w:cs="Calibri"/>
                <w:sz w:val="18"/>
                <w:szCs w:val="18"/>
              </w:rPr>
              <w:t>i </w:t>
            </w:r>
            <w:r w:rsidRPr="008E57B5">
              <w:rPr>
                <w:rFonts w:ascii="Calibri" w:hAnsi="Calibri" w:cs="Calibri"/>
                <w:sz w:val="18"/>
                <w:szCs w:val="18"/>
              </w:rPr>
              <w:t>OSO#21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5B050C" w:rsidRDefault="0041508A" w:rsidP="00BC4C4F">
            <w:pPr>
              <w:jc w:val="center"/>
              <w:rPr>
                <w:sz w:val="18"/>
                <w:szCs w:val="18"/>
              </w:rPr>
            </w:pPr>
            <w:r w:rsidRPr="005B050C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sz w:val="18"/>
                <w:szCs w:val="18"/>
              </w:rPr>
            </w:pPr>
            <w:r w:rsidRPr="00144C4B">
              <w:rPr>
                <w:sz w:val="18"/>
                <w:szCs w:val="18"/>
              </w:rPr>
              <w:t xml:space="preserve">a) Procedury normalne, </w:t>
            </w:r>
            <w:r>
              <w:rPr>
                <w:sz w:val="18"/>
                <w:szCs w:val="18"/>
              </w:rPr>
              <w:t>bezpieczeństwa</w:t>
            </w:r>
            <w:r w:rsidRPr="00144C4B">
              <w:rPr>
                <w:sz w:val="18"/>
                <w:szCs w:val="18"/>
              </w:rPr>
              <w:t xml:space="preserve"> i awaryjne są udokumentowane i </w:t>
            </w:r>
            <w:r w:rsidRPr="00144C4B">
              <w:rPr>
                <w:sz w:val="18"/>
                <w:szCs w:val="18"/>
              </w:rPr>
              <w:lastRenderedPageBreak/>
              <w:t xml:space="preserve">stanowią </w:t>
            </w:r>
            <w:r>
              <w:rPr>
                <w:sz w:val="18"/>
                <w:szCs w:val="18"/>
              </w:rPr>
              <w:t>część instrukcji operacyjnej (INOP</w:t>
            </w:r>
            <w:r w:rsidRPr="00144C4B">
              <w:rPr>
                <w:sz w:val="18"/>
                <w:szCs w:val="18"/>
              </w:rPr>
              <w:t xml:space="preserve">). </w:t>
            </w:r>
          </w:p>
          <w:p w:rsidR="0041508A" w:rsidRPr="005756D5" w:rsidRDefault="0041508A" w:rsidP="00BC4C4F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(b) </w:t>
            </w:r>
            <w:r w:rsidRPr="00144C4B">
              <w:rPr>
                <w:sz w:val="18"/>
                <w:szCs w:val="18"/>
              </w:rPr>
              <w:t xml:space="preserve">Procedury operacyjne są zatwierdzane w oparciu o normy uznane za odpowiednie przez </w:t>
            </w:r>
            <w:r w:rsidRPr="006D6B05">
              <w:rPr>
                <w:sz w:val="18"/>
                <w:szCs w:val="18"/>
              </w:rPr>
              <w:t xml:space="preserve">Prezesa Urzędu Lotnictwa Cywilnego </w:t>
            </w:r>
            <w:r>
              <w:rPr>
                <w:sz w:val="18"/>
                <w:szCs w:val="18"/>
              </w:rPr>
              <w:t>i/</w:t>
            </w:r>
            <w:r w:rsidRPr="006D6B05">
              <w:rPr>
                <w:sz w:val="18"/>
                <w:szCs w:val="18"/>
              </w:rPr>
              <w:t>lub zgodnie z akceptowalnymi środkami zgodności.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  <w:p w:rsidR="0041508A" w:rsidRPr="00144C4B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</w:t>
            </w:r>
            <w:r w:rsidRPr="00144C4B">
              <w:rPr>
                <w:sz w:val="18"/>
                <w:szCs w:val="18"/>
              </w:rPr>
              <w:t>) Adekwatność procedur bezpieczeństwa i awaryjnych została udowodniona poprzez:</w:t>
            </w:r>
          </w:p>
          <w:p w:rsidR="0041508A" w:rsidRPr="00144C4B" w:rsidRDefault="0041508A" w:rsidP="00BC4C4F">
            <w:pPr>
              <w:jc w:val="both"/>
              <w:rPr>
                <w:sz w:val="18"/>
                <w:szCs w:val="18"/>
              </w:rPr>
            </w:pPr>
            <w:r w:rsidRPr="00144C4B">
              <w:rPr>
                <w:sz w:val="18"/>
                <w:szCs w:val="18"/>
              </w:rPr>
              <w:t xml:space="preserve">(1) specjalne testy w locie; lub </w:t>
            </w:r>
          </w:p>
          <w:p w:rsidR="0041508A" w:rsidRDefault="0041508A" w:rsidP="00BC4C4F">
            <w:pPr>
              <w:jc w:val="both"/>
              <w:rPr>
                <w:sz w:val="18"/>
                <w:szCs w:val="18"/>
              </w:rPr>
            </w:pPr>
            <w:r w:rsidRPr="00144C4B">
              <w:rPr>
                <w:sz w:val="18"/>
                <w:szCs w:val="18"/>
              </w:rPr>
              <w:t>(2) symulację, pod warunkiem, iż udowodniono, że symulacja jest obowiązująca dla zamierzon</w:t>
            </w:r>
            <w:r>
              <w:rPr>
                <w:sz w:val="18"/>
                <w:szCs w:val="18"/>
              </w:rPr>
              <w:t>ego celu z pozytywnymi wynikami; lub</w:t>
            </w:r>
          </w:p>
          <w:p w:rsidR="0041508A" w:rsidRPr="00144C4B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</w:t>
            </w:r>
            <w:r w:rsidRPr="00D018FC">
              <w:rPr>
                <w:sz w:val="18"/>
                <w:szCs w:val="18"/>
              </w:rPr>
              <w:t xml:space="preserve">wszelkie inne środki akceptowalne </w:t>
            </w:r>
            <w:r>
              <w:rPr>
                <w:sz w:val="18"/>
                <w:szCs w:val="18"/>
              </w:rPr>
              <w:t>przez Prezesa Urzędu Lotnictwa Cywilnego.</w:t>
            </w:r>
            <w:r w:rsidRPr="00144C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 xml:space="preserve">(c) 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</w:t>
            </w:r>
            <w:r w:rsidR="00D804EC">
              <w:rPr>
                <w:rFonts w:cs="Calibri"/>
                <w:sz w:val="18"/>
                <w:szCs w:val="18"/>
              </w:rPr>
              <w:t>iał: Część B s</w:t>
            </w:r>
            <w:r w:rsidR="00BC4C4F">
              <w:rPr>
                <w:rFonts w:cs="Calibri"/>
                <w:sz w:val="18"/>
                <w:szCs w:val="18"/>
              </w:rPr>
              <w:t>ekcja 2.2, Załącznik 8.2.8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  <w:tr w:rsidR="0041508A" w:rsidRPr="005B050C" w:rsidTr="00BC4C4F">
        <w:tc>
          <w:tcPr>
            <w:tcW w:w="2265" w:type="dxa"/>
            <w:shd w:val="clear" w:color="auto" w:fill="FBE4D5" w:themeFill="accent2" w:themeFillTint="33"/>
          </w:tcPr>
          <w:p w:rsidR="0041508A" w:rsidRPr="008E57B5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41508A" w:rsidRPr="00AC3E1E" w:rsidRDefault="0041508A" w:rsidP="00BC4C4F">
            <w:pPr>
              <w:jc w:val="center"/>
              <w:rPr>
                <w:i/>
                <w:sz w:val="18"/>
                <w:szCs w:val="18"/>
              </w:rPr>
            </w:pPr>
            <w:r w:rsidRPr="00AC3E1E">
              <w:rPr>
                <w:i/>
                <w:sz w:val="18"/>
                <w:szCs w:val="18"/>
              </w:rPr>
              <w:t>Komentarze</w:t>
            </w:r>
          </w:p>
        </w:tc>
        <w:tc>
          <w:tcPr>
            <w:tcW w:w="2266" w:type="dxa"/>
            <w:shd w:val="clear" w:color="auto" w:fill="auto"/>
          </w:tcPr>
          <w:p w:rsidR="0041508A" w:rsidRPr="00B27482" w:rsidRDefault="0041508A" w:rsidP="00BC4C4F">
            <w:pPr>
              <w:jc w:val="both"/>
              <w:rPr>
                <w:i/>
                <w:sz w:val="18"/>
                <w:szCs w:val="18"/>
              </w:rPr>
            </w:pPr>
            <w:r w:rsidRPr="00B27482">
              <w:rPr>
                <w:i/>
                <w:sz w:val="18"/>
                <w:szCs w:val="18"/>
                <w:vertAlign w:val="superscript"/>
              </w:rPr>
              <w:t>1</w:t>
            </w:r>
            <w:r w:rsidRPr="00B27482">
              <w:rPr>
                <w:i/>
                <w:sz w:val="18"/>
                <w:szCs w:val="18"/>
              </w:rPr>
              <w:t>AMC2 UAS.SPEC.030(3)(e) (Procedury operacyjne dla średnich i wysokich poziomów solidności) uznaje się za akceptowalny sposób spełnienia wymagań.</w:t>
            </w:r>
          </w:p>
        </w:tc>
        <w:tc>
          <w:tcPr>
            <w:tcW w:w="2266" w:type="dxa"/>
            <w:shd w:val="clear" w:color="auto" w:fill="auto"/>
          </w:tcPr>
          <w:p w:rsidR="0041508A" w:rsidRPr="005B050C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41508A" w:rsidRDefault="0041508A" w:rsidP="0041508A"/>
    <w:p w:rsidR="00D63A97" w:rsidRDefault="00D63A97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4720F6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lastRenderedPageBreak/>
              <w:t>KOMPETENCJE ZAŁOGI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4720F6" w:rsidTr="00BC4C4F">
        <w:trPr>
          <w:trHeight w:val="4175"/>
        </w:trPr>
        <w:tc>
          <w:tcPr>
            <w:tcW w:w="2265" w:type="dxa"/>
            <w:shd w:val="clear" w:color="auto" w:fill="FBE4D5" w:themeFill="accent2" w:themeFillTint="33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 w:rsidRPr="004E2A3E">
              <w:rPr>
                <w:rFonts w:ascii="Calibri" w:hAnsi="Calibri" w:cs="Calibri"/>
                <w:sz w:val="18"/>
                <w:szCs w:val="18"/>
              </w:rPr>
              <w:t>OSO#09, OSO#15 i OSO#22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BA5AA2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BA5AA2">
              <w:rPr>
                <w:rFonts w:ascii="Calibri" w:hAnsi="Calibri" w:cs="Calibri"/>
                <w:sz w:val="18"/>
                <w:szCs w:val="18"/>
              </w:rPr>
              <w:t xml:space="preserve">Szkolenie teoretyczne i praktyczne oparte na kompetencjach jest odpowiednie dla operacji i zapewnia wiedzę w zakresie: </w:t>
            </w:r>
          </w:p>
          <w:p w:rsidR="0041508A" w:rsidRPr="00BA5AA2" w:rsidRDefault="0041508A" w:rsidP="00BC4C4F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BA5AA2">
              <w:rPr>
                <w:rFonts w:ascii="Calibri" w:hAnsi="Calibri" w:cs="Calibri"/>
                <w:sz w:val="18"/>
                <w:szCs w:val="18"/>
              </w:rPr>
              <w:t xml:space="preserve">(a) rozporządzenie (UE) 2019/947;  </w:t>
            </w:r>
          </w:p>
          <w:p w:rsidR="0041508A" w:rsidRPr="00BA5AA2" w:rsidRDefault="0041508A" w:rsidP="00BC4C4F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BA5AA2">
              <w:rPr>
                <w:rFonts w:ascii="Calibri" w:hAnsi="Calibri" w:cs="Calibri"/>
                <w:sz w:val="18"/>
                <w:szCs w:val="18"/>
              </w:rPr>
              <w:t xml:space="preserve">(b) zasady operacyjne przestrzeni powietrznej;  </w:t>
            </w:r>
          </w:p>
          <w:p w:rsidR="0041508A" w:rsidRPr="00BA5AA2" w:rsidRDefault="0041508A" w:rsidP="00BC4C4F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BA5AA2">
              <w:rPr>
                <w:rFonts w:ascii="Calibri" w:hAnsi="Calibri" w:cs="Calibri"/>
                <w:sz w:val="18"/>
                <w:szCs w:val="18"/>
              </w:rPr>
              <w:t xml:space="preserve">(c) umiejętności lotnicze i bezpieczeństwo lotnicze; </w:t>
            </w:r>
          </w:p>
          <w:p w:rsidR="0041508A" w:rsidRPr="00BA5AA2" w:rsidRDefault="0041508A" w:rsidP="00BC4C4F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BA5AA2">
              <w:rPr>
                <w:rFonts w:ascii="Calibri" w:hAnsi="Calibri" w:cs="Calibri"/>
                <w:sz w:val="18"/>
                <w:szCs w:val="18"/>
              </w:rPr>
              <w:t xml:space="preserve">(d) ograniczenia możliwości człowieka; </w:t>
            </w:r>
          </w:p>
          <w:p w:rsidR="0041508A" w:rsidRPr="00BA5AA2" w:rsidRDefault="0041508A" w:rsidP="00BC4C4F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BA5AA2">
              <w:rPr>
                <w:rFonts w:ascii="Calibri" w:hAnsi="Calibri" w:cs="Calibri"/>
                <w:sz w:val="18"/>
                <w:szCs w:val="18"/>
              </w:rPr>
              <w:t xml:space="preserve">(e) meteorologia; </w:t>
            </w:r>
          </w:p>
          <w:p w:rsidR="0041508A" w:rsidRPr="00BA5AA2" w:rsidRDefault="0041508A" w:rsidP="00BC4C4F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BA5AA2">
              <w:rPr>
                <w:rFonts w:ascii="Calibri" w:hAnsi="Calibri" w:cs="Calibri"/>
                <w:sz w:val="18"/>
                <w:szCs w:val="18"/>
              </w:rPr>
              <w:t xml:space="preserve">(f) nawigacja/mapy;  </w:t>
            </w:r>
          </w:p>
          <w:p w:rsidR="0041508A" w:rsidRPr="00BA5AA2" w:rsidRDefault="0041508A" w:rsidP="00BC4C4F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BA5AA2">
              <w:rPr>
                <w:rFonts w:ascii="Calibri" w:hAnsi="Calibri" w:cs="Calibri"/>
                <w:sz w:val="18"/>
                <w:szCs w:val="18"/>
              </w:rPr>
              <w:t xml:space="preserve">(g) BSP używany do wykonania operacji;  oraz </w:t>
            </w:r>
          </w:p>
          <w:p w:rsidR="0041508A" w:rsidRPr="00BA5AA2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BA5AA2">
              <w:rPr>
                <w:rFonts w:ascii="Calibri" w:hAnsi="Calibri" w:cs="Calibri"/>
                <w:sz w:val="18"/>
                <w:szCs w:val="18"/>
              </w:rPr>
              <w:t>(h) procedury operacyjne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 xml:space="preserve">KOMPETENCJE </w:t>
            </w:r>
            <w:r w:rsidRPr="000E36DD">
              <w:rPr>
                <w:rFonts w:cs="Calibri"/>
                <w:b/>
                <w:sz w:val="18"/>
                <w:szCs w:val="18"/>
              </w:rPr>
              <w:t>PERSONELU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4720F6" w:rsidTr="00BC4C4F">
        <w:tc>
          <w:tcPr>
            <w:tcW w:w="2265" w:type="dxa"/>
            <w:shd w:val="clear" w:color="auto" w:fill="FBE4D5" w:themeFill="accent2" w:themeFillTint="33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 w:rsidRPr="004E2A3E">
              <w:rPr>
                <w:rFonts w:ascii="Calibri" w:hAnsi="Calibri" w:cs="Calibri"/>
                <w:sz w:val="18"/>
                <w:szCs w:val="18"/>
              </w:rPr>
              <w:t>OSO#09, OSO#15 i OSO#22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 w:rsidRPr="004720F6">
              <w:rPr>
                <w:sz w:val="18"/>
                <w:szCs w:val="18"/>
              </w:rPr>
              <w:t>Zadeklarowano szkolenie we własnym zakresie (z dostępnymi dokumentami potwierdzającymi).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 w:rsidRPr="005D4302">
              <w:rPr>
                <w:rFonts w:cs="Calibri"/>
                <w:sz w:val="18"/>
                <w:szCs w:val="18"/>
              </w:rPr>
              <w:t>Nazwa dokumentu: INOP</w:t>
            </w:r>
          </w:p>
          <w:p w:rsidR="00BC4C4F" w:rsidRPr="005D4302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Rozdział: Część D, Załącznik 8.2.3</w:t>
            </w:r>
          </w:p>
          <w:p w:rsidR="00BC4C4F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4720F6" w:rsidRDefault="00BC4C4F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4720F6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 xml:space="preserve">KOMPETENCJE </w:t>
            </w:r>
            <w:r w:rsidRPr="000E36DD">
              <w:rPr>
                <w:rFonts w:cs="Calibri"/>
                <w:b/>
                <w:sz w:val="18"/>
                <w:szCs w:val="18"/>
              </w:rPr>
              <w:t>PERSONELU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4720F6" w:rsidTr="00BC4C4F"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 w:rsidRPr="004E2A3E">
              <w:rPr>
                <w:rFonts w:ascii="Calibri" w:hAnsi="Calibri" w:cs="Calibri"/>
                <w:sz w:val="18"/>
                <w:szCs w:val="18"/>
              </w:rPr>
              <w:t>OSO#10 i OSO#12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 w:rsidRPr="00A36E1D">
              <w:rPr>
                <w:rFonts w:ascii="Calibri" w:hAnsi="Calibri" w:cs="Calibri"/>
                <w:sz w:val="18"/>
                <w:szCs w:val="18"/>
              </w:rPr>
              <w:t xml:space="preserve">W przypadku przeprowadzenia </w:t>
            </w:r>
            <w:r w:rsidRPr="006A20AE">
              <w:rPr>
                <w:rFonts w:ascii="Calibri" w:hAnsi="Calibri" w:cs="Calibri"/>
                <w:sz w:val="18"/>
                <w:szCs w:val="18"/>
              </w:rPr>
              <w:t xml:space="preserve">operacji nad zaludnionymi obszarami lub zgromadzeniami osób, można racjonalnie oczekiwać, że nie będzie miał miejsca żaden wypadek śmiertelny z powodu </w:t>
            </w:r>
            <w:r w:rsidRPr="006A20AE">
              <w:rPr>
                <w:rFonts w:ascii="Calibri" w:hAnsi="Calibri" w:cs="Calibri"/>
                <w:sz w:val="18"/>
                <w:szCs w:val="18"/>
                <w:u w:val="single"/>
              </w:rPr>
              <w:t>prawdopodobnej</w:t>
            </w:r>
            <w:r w:rsidRPr="006A20AE">
              <w:rPr>
                <w:rFonts w:ascii="Calibri" w:hAnsi="Calibri" w:cs="Calibri"/>
                <w:sz w:val="18"/>
                <w:szCs w:val="18"/>
                <w:u w:val="single"/>
                <w:vertAlign w:val="superscript"/>
              </w:rPr>
              <w:t>1</w:t>
            </w:r>
            <w:r w:rsidRPr="006A20AE">
              <w:rPr>
                <w:rFonts w:ascii="Calibri" w:hAnsi="Calibri" w:cs="Calibri"/>
                <w:sz w:val="18"/>
                <w:szCs w:val="18"/>
                <w:u w:val="single"/>
              </w:rPr>
              <w:t xml:space="preserve"> awarii</w:t>
            </w:r>
            <w:r w:rsidRPr="006A20AE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6A20AE">
              <w:rPr>
                <w:rFonts w:ascii="Calibri" w:hAnsi="Calibri" w:cs="Calibri"/>
                <w:sz w:val="18"/>
                <w:szCs w:val="18"/>
              </w:rPr>
              <w:t xml:space="preserve"> BSP lub jakiegokolwiek zewnętrznego systemu wspierającego operację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4720F6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i/>
                <w:sz w:val="18"/>
                <w:szCs w:val="18"/>
              </w:rPr>
              <w:t>Komentarze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6A20AE" w:rsidRDefault="0041508A" w:rsidP="00BC4C4F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6A20A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1</w:t>
            </w:r>
            <w:r w:rsidRPr="006A20AE">
              <w:rPr>
                <w:rFonts w:ascii="Calibri" w:hAnsi="Calibri" w:cs="Calibri"/>
                <w:i/>
                <w:sz w:val="18"/>
                <w:szCs w:val="18"/>
              </w:rPr>
              <w:t>Do celów niniejszej oceny pojęcie „prawdopodobna” należy interpretować w sposób jakościowy, jako "przewidywane wystąpienie co najmniej jeden lub więcej razy w całym okresie eksploatacji systemu/okresu użytkowania BSP”.</w:t>
            </w:r>
          </w:p>
          <w:p w:rsidR="0041508A" w:rsidRPr="004720F6" w:rsidRDefault="0041508A" w:rsidP="00BC4C4F">
            <w:pPr>
              <w:rPr>
                <w:i/>
                <w:sz w:val="18"/>
                <w:szCs w:val="18"/>
              </w:rPr>
            </w:pPr>
            <w:r w:rsidRPr="006A20A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2</w:t>
            </w:r>
            <w:r w:rsidRPr="006A20AE">
              <w:rPr>
                <w:rFonts w:ascii="Calibri" w:hAnsi="Calibri" w:cs="Calibri"/>
                <w:i/>
                <w:sz w:val="18"/>
                <w:szCs w:val="18"/>
              </w:rPr>
              <w:t xml:space="preserve">Niektóre awarie konstrukcyjne lub mechaniczne można wykluczyć z tego kryterium, </w:t>
            </w:r>
            <w:r w:rsidRPr="006A20AE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jeżeli można wykazać, że te części mechaniczne zostały zaprojektowane zgodnie z najlepszymi praktykami branży lotniczej.</w:t>
            </w:r>
          </w:p>
        </w:tc>
        <w:tc>
          <w:tcPr>
            <w:tcW w:w="2266" w:type="dxa"/>
            <w:shd w:val="clear" w:color="auto" w:fill="FFFFFF" w:themeFill="background1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4720F6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 xml:space="preserve">KOMPETENCJE </w:t>
            </w:r>
            <w:r w:rsidRPr="000E36DD">
              <w:rPr>
                <w:rFonts w:cs="Calibri"/>
                <w:b/>
                <w:sz w:val="18"/>
                <w:szCs w:val="18"/>
              </w:rPr>
              <w:t>PERSONELU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4720F6" w:rsidTr="00BC4C4F">
        <w:tc>
          <w:tcPr>
            <w:tcW w:w="2265" w:type="dxa"/>
            <w:shd w:val="clear" w:color="auto" w:fill="FBE4D5" w:themeFill="accent2" w:themeFillTint="33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 w:rsidRPr="004E2A3E">
              <w:rPr>
                <w:rFonts w:ascii="Calibri" w:hAnsi="Calibri" w:cs="Calibri"/>
                <w:sz w:val="18"/>
                <w:szCs w:val="18"/>
              </w:rPr>
              <w:t>OSO#10 i OSO#12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A20AE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A20AE">
              <w:rPr>
                <w:rFonts w:ascii="Calibri" w:hAnsi="Calibri" w:cs="Calibri"/>
                <w:sz w:val="18"/>
                <w:szCs w:val="18"/>
              </w:rPr>
              <w:t xml:space="preserve">Dostępna jest ocena projektu i instalacji. Ocena ta pokazuje w szczególności, iż: </w:t>
            </w:r>
          </w:p>
          <w:p w:rsidR="0041508A" w:rsidRPr="006A20AE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A20AE">
              <w:rPr>
                <w:rFonts w:ascii="Calibri" w:hAnsi="Calibri" w:cs="Calibri"/>
                <w:sz w:val="18"/>
                <w:szCs w:val="18"/>
              </w:rPr>
              <w:t xml:space="preserve">(a) cechy projektowe i instalacyjne (niezależność, separację i redundancję) spełniają kryterium niskiego poziomu integralności; oraz </w:t>
            </w:r>
          </w:p>
          <w:p w:rsidR="0041508A" w:rsidRPr="006A20AE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A20AE">
              <w:rPr>
                <w:rFonts w:ascii="Calibri" w:hAnsi="Calibri" w:cs="Calibri"/>
                <w:sz w:val="18"/>
                <w:szCs w:val="18"/>
              </w:rPr>
              <w:t xml:space="preserve">(b) szczególne ryzyko związane z </w:t>
            </w:r>
            <w:proofErr w:type="spellStart"/>
            <w:r w:rsidRPr="006A20AE">
              <w:rPr>
                <w:rFonts w:ascii="Calibri" w:hAnsi="Calibri" w:cs="Calibri"/>
                <w:sz w:val="18"/>
                <w:szCs w:val="18"/>
              </w:rPr>
              <w:t>ConOps</w:t>
            </w:r>
            <w:proofErr w:type="spellEnd"/>
            <w:r w:rsidRPr="006A20AE">
              <w:rPr>
                <w:rFonts w:ascii="Calibri" w:hAnsi="Calibri" w:cs="Calibri"/>
                <w:sz w:val="18"/>
                <w:szCs w:val="18"/>
              </w:rPr>
              <w:t xml:space="preserve"> (np. grad, lód, śnieg, zakłócenia elektromagnetyczne, itp.) nie naruszają ewentualnych deklaracji w zakresie niezależności.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4720F6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0E36DD" w:rsidRDefault="0041508A" w:rsidP="00BC4C4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E36DD">
              <w:rPr>
                <w:rFonts w:cs="Calibri"/>
                <w:b/>
                <w:sz w:val="18"/>
                <w:szCs w:val="18"/>
              </w:rPr>
              <w:t>POGORSZENIE DZIAŁANIA SYSTEMÓW ZEWNĘTRZNYCH WSPIERAJĄCYCH OPERACJĘ POZA KONTROLĄ BSP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4720F6" w:rsidTr="00BC4C4F">
        <w:tc>
          <w:tcPr>
            <w:tcW w:w="2265" w:type="dxa"/>
            <w:shd w:val="clear" w:color="auto" w:fill="FBE4D5" w:themeFill="accent2" w:themeFillTint="33"/>
          </w:tcPr>
          <w:p w:rsidR="0041508A" w:rsidRPr="004720F6" w:rsidRDefault="0041508A" w:rsidP="00BC4C4F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OSO#</w:t>
            </w:r>
            <w:r w:rsidRPr="006F3B52">
              <w:rPr>
                <w:rFonts w:ascii="Calibri" w:hAnsi="Calibri" w:cs="Calibri"/>
                <w:sz w:val="18"/>
                <w:szCs w:val="18"/>
              </w:rPr>
              <w:t>13 Usługi</w:t>
            </w:r>
            <w:r>
              <w:rPr>
                <w:rFonts w:cs="Calibri"/>
                <w:sz w:val="18"/>
                <w:szCs w:val="18"/>
              </w:rPr>
              <w:t xml:space="preserve"> zewnętrzne wspierające operację</w:t>
            </w:r>
            <w:r w:rsidRPr="006F3B52">
              <w:rPr>
                <w:rFonts w:ascii="Calibri" w:hAnsi="Calibri" w:cs="Calibri"/>
                <w:sz w:val="18"/>
                <w:szCs w:val="18"/>
              </w:rPr>
              <w:t xml:space="preserve"> są odpowiednie do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F3B52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 xml:space="preserve">Wnioskodawca zapewnia, że ​​poziom efektywności każdej usługi świadczonej z zewnątrz niezbędnej do zapewnienia bezpieczeństwa lotu jest odpowiedni dla planowanej operacji. </w:t>
            </w:r>
          </w:p>
          <w:p w:rsidR="0041508A" w:rsidRPr="006F3B52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 xml:space="preserve">Jeżeli usługa świadczona z zewnątrz wymaga komunikacji między operatorem SBSP, a usługodawcą, wnioskodawca zapewnia skuteczną komunikację w celu wsparcia świadczenia usługi. </w:t>
            </w:r>
          </w:p>
          <w:p w:rsidR="0041508A" w:rsidRPr="004720F6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Określono role i obowiązki między wnioskodawcą, a zewnętrznym dostawcą usług.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0E36DD" w:rsidRDefault="0041508A" w:rsidP="00BC4C4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E36DD">
              <w:rPr>
                <w:rFonts w:cs="Calibri"/>
                <w:b/>
                <w:sz w:val="18"/>
                <w:szCs w:val="18"/>
              </w:rPr>
              <w:t>POGORSZENIE DZIAŁANIA SYSTEMÓW ZEWNĘTRZNYCH WSPIERAJĄCYCH OPERACJĘ POZA KONTROLĄ BSP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4720F6" w:rsidTr="00BC4C4F">
        <w:tc>
          <w:tcPr>
            <w:tcW w:w="2265" w:type="dxa"/>
            <w:shd w:val="clear" w:color="auto" w:fill="FBE4D5" w:themeFill="accent2" w:themeFillTint="33"/>
          </w:tcPr>
          <w:p w:rsidR="0041508A" w:rsidRPr="004720F6" w:rsidRDefault="0041508A" w:rsidP="00BC4C4F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OSO#</w:t>
            </w:r>
            <w:r w:rsidRPr="006F3B52">
              <w:rPr>
                <w:rFonts w:ascii="Calibri" w:hAnsi="Calibri" w:cs="Calibri"/>
                <w:sz w:val="18"/>
                <w:szCs w:val="18"/>
              </w:rPr>
              <w:t>13 Usługi</w:t>
            </w:r>
            <w:r>
              <w:rPr>
                <w:rFonts w:cs="Calibri"/>
                <w:sz w:val="18"/>
                <w:szCs w:val="18"/>
              </w:rPr>
              <w:t xml:space="preserve"> zewnętrzne wspierające operację</w:t>
            </w:r>
            <w:r w:rsidRPr="006F3B52">
              <w:rPr>
                <w:rFonts w:ascii="Calibri" w:hAnsi="Calibri" w:cs="Calibri"/>
                <w:sz w:val="18"/>
                <w:szCs w:val="18"/>
              </w:rPr>
              <w:t xml:space="preserve"> są odpowiednie do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Wnioskodawca oświadcza, że wymagany poziom skuteczności dla każdej usługi świadczonej z zewnątrz niezbędnej dla bezpieczeństwa lotu został osiągnięty (bez konieczności posiadania dowodów potwierdzających).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41508A" w:rsidRDefault="00BC4C4F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Rozdział: Część B s</w:t>
            </w:r>
            <w:r w:rsidR="0041508A">
              <w:rPr>
                <w:rFonts w:cs="Calibri"/>
                <w:sz w:val="18"/>
                <w:szCs w:val="18"/>
              </w:rPr>
              <w:t>ekcja 2.4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</w:tbl>
    <w:p w:rsidR="0041508A" w:rsidRDefault="0041508A" w:rsidP="0041508A"/>
    <w:p w:rsidR="00D63A97" w:rsidRDefault="00D63A97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AB1DC3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AB1DC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AB1DC3">
              <w:rPr>
                <w:b/>
                <w:sz w:val="18"/>
                <w:szCs w:val="18"/>
              </w:rPr>
              <w:lastRenderedPageBreak/>
              <w:t>BŁĄD LUDZKI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AB1DC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AB1DC3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AB1DC3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AB1DC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AB1DC3">
              <w:rPr>
                <w:b/>
                <w:sz w:val="18"/>
                <w:szCs w:val="18"/>
              </w:rPr>
              <w:t>Uzupełnia operator</w:t>
            </w:r>
          </w:p>
        </w:tc>
      </w:tr>
      <w:tr w:rsidR="0041508A" w:rsidRPr="00AB1DC3" w:rsidTr="00BC4C4F">
        <w:trPr>
          <w:trHeight w:val="1953"/>
        </w:trPr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AB1DC3" w:rsidRDefault="0041508A" w:rsidP="00BC4C4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OSO#16 </w:t>
            </w:r>
            <w:r w:rsidRPr="006F3B52">
              <w:rPr>
                <w:rFonts w:ascii="Calibri" w:hAnsi="Calibri" w:cs="Calibri"/>
                <w:sz w:val="18"/>
                <w:szCs w:val="18"/>
              </w:rPr>
              <w:t xml:space="preserve"> Koordynacja załogi wieloosobowej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sz w:val="18"/>
                <w:szCs w:val="18"/>
              </w:rPr>
              <w:t>Kryterium 1</w:t>
            </w:r>
          </w:p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sz w:val="18"/>
                <w:szCs w:val="18"/>
              </w:rPr>
              <w:t>(Procedury)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F3B52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 xml:space="preserve">Procedura zapewniająca koordynację między członkami personelu oraz solidne i skuteczne kanały komunikacji są dostępne i obejmują, co najmniej: </w:t>
            </w:r>
          </w:p>
          <w:p w:rsidR="0041508A" w:rsidRPr="006F3B52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 xml:space="preserve">(a) przydzielenie zadań personelowi oraz </w:t>
            </w:r>
          </w:p>
          <w:p w:rsidR="0041508A" w:rsidRPr="00AB1DC3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(b) ustanowienie komunikacji krok po kroku.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Rozdział: Część B</w:t>
            </w:r>
            <w:r w:rsidR="00D804EC">
              <w:rPr>
                <w:rFonts w:cs="Calibri"/>
                <w:sz w:val="18"/>
                <w:szCs w:val="18"/>
              </w:rPr>
              <w:t xml:space="preserve"> sekcja 2.1</w:t>
            </w:r>
          </w:p>
          <w:p w:rsidR="0041508A" w:rsidRDefault="0041508A" w:rsidP="00BC4C4F">
            <w:pPr>
              <w:jc w:val="both"/>
              <w:rPr>
                <w:sz w:val="18"/>
                <w:szCs w:val="18"/>
              </w:rPr>
            </w:pPr>
          </w:p>
          <w:p w:rsidR="0041508A" w:rsidRPr="00AB1DC3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AB1DC3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AB1DC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sz w:val="18"/>
                <w:szCs w:val="18"/>
              </w:rPr>
              <w:t>Kryterium nr 2</w:t>
            </w:r>
          </w:p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sz w:val="18"/>
                <w:szCs w:val="18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AB1DC3" w:rsidRDefault="0041508A" w:rsidP="00BC4C4F">
            <w:pPr>
              <w:rPr>
                <w:i/>
                <w:sz w:val="18"/>
                <w:szCs w:val="18"/>
                <w:vertAlign w:val="superscript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 xml:space="preserve">Szkolenie personelu obejmuje koordynację </w:t>
            </w:r>
            <w:r>
              <w:rPr>
                <w:rFonts w:ascii="Calibri" w:hAnsi="Calibri" w:cs="Calibri"/>
                <w:sz w:val="18"/>
                <w:szCs w:val="18"/>
              </w:rPr>
              <w:t>załogi wieloosobowej (MCC).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Rozdział: Część D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0E36DD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AB1DC3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AB1DC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AB1DC3">
              <w:rPr>
                <w:b/>
                <w:sz w:val="18"/>
                <w:szCs w:val="18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AB1DC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AB1DC3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AB1DC3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AB1DC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AB1DC3">
              <w:rPr>
                <w:b/>
                <w:sz w:val="18"/>
                <w:szCs w:val="18"/>
              </w:rPr>
              <w:t>Uzupełnia operator</w:t>
            </w:r>
          </w:p>
        </w:tc>
      </w:tr>
      <w:tr w:rsidR="0041508A" w:rsidRPr="00AB1DC3" w:rsidTr="00BC4C4F">
        <w:trPr>
          <w:trHeight w:val="2000"/>
        </w:trPr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AB1DC3" w:rsidRDefault="0041508A" w:rsidP="00BC4C4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OSO#16 </w:t>
            </w:r>
            <w:r w:rsidRPr="006F3B52">
              <w:rPr>
                <w:rFonts w:ascii="Calibri" w:hAnsi="Calibri" w:cs="Calibri"/>
                <w:sz w:val="18"/>
                <w:szCs w:val="18"/>
              </w:rPr>
              <w:t xml:space="preserve"> Koordynacja załogi wieloosobowej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sz w:val="18"/>
                <w:szCs w:val="18"/>
              </w:rPr>
              <w:t>Kryterium 1</w:t>
            </w:r>
          </w:p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sz w:val="18"/>
                <w:szCs w:val="18"/>
              </w:rPr>
              <w:t>(Procedury)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F3B52" w:rsidRDefault="0041508A" w:rsidP="00BC4C4F">
            <w:pPr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(a) Procedury nie wymagają zatwierdzenia w stosunku do normy lub środka zgodności uznanego Prezesa Urzędu Lotnictwa Cywilnego za odpowiedni.</w:t>
            </w:r>
          </w:p>
          <w:p w:rsidR="0041508A" w:rsidRPr="00AC6B08" w:rsidRDefault="0041508A" w:rsidP="00BC4C4F">
            <w:pPr>
              <w:spacing w:line="256" w:lineRule="auto"/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(b) Zadeklarowano adekwatność procedur i list kontrolnych.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AB1DC3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  <w:tr w:rsidR="0041508A" w:rsidRPr="00AB1DC3" w:rsidTr="00BC4C4F">
        <w:trPr>
          <w:trHeight w:val="1030"/>
        </w:trPr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AB1DC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sz w:val="18"/>
                <w:szCs w:val="18"/>
              </w:rPr>
              <w:t xml:space="preserve">Kryterium nr 2 </w:t>
            </w:r>
          </w:p>
          <w:p w:rsidR="0041508A" w:rsidRPr="00AB1DC3" w:rsidRDefault="0041508A" w:rsidP="00BC4C4F">
            <w:pPr>
              <w:jc w:val="center"/>
              <w:rPr>
                <w:sz w:val="18"/>
                <w:szCs w:val="18"/>
              </w:rPr>
            </w:pPr>
            <w:r w:rsidRPr="00AB1DC3">
              <w:rPr>
                <w:sz w:val="18"/>
                <w:szCs w:val="18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AB1DC3" w:rsidRDefault="0041508A" w:rsidP="00BC4C4F">
            <w:pPr>
              <w:jc w:val="both"/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Zadeklarowano szkolenie we własnym zakresie (z dostępnymi dokumentami potwierdzającymi).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D804EC" w:rsidRDefault="00D804EC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Rozdział: Część D, </w:t>
            </w:r>
          </w:p>
          <w:p w:rsidR="0041508A" w:rsidRDefault="00D804EC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Załącznik 8.2.3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AB1DC3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4720F6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4720F6" w:rsidTr="00BC4C4F">
        <w:tc>
          <w:tcPr>
            <w:tcW w:w="2265" w:type="dxa"/>
            <w:shd w:val="clear" w:color="auto" w:fill="FBE4D5" w:themeFill="accent2" w:themeFillTint="33"/>
          </w:tcPr>
          <w:p w:rsidR="0041508A" w:rsidRPr="004720F6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OSO#17 Personel jest zdolny do przeprowadzenia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Wnioskodawca posiada zasady określające, w jaki sposób pilot (piloci) BSP i każdy inny członek personelu odpowiedzialny za realizacje obowiązków istotnych z punktu widzenia operacji mogą złożyć oświadczenie o ich zdolności do wykonania operacji przed przystąpieniem do jakiejkolwiek operacji.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4720F6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4720F6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4720F6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4720F6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4720F6" w:rsidTr="00BC4C4F">
        <w:tc>
          <w:tcPr>
            <w:tcW w:w="2265" w:type="dxa"/>
            <w:shd w:val="clear" w:color="auto" w:fill="FBE4D5" w:themeFill="accent2" w:themeFillTint="33"/>
          </w:tcPr>
          <w:p w:rsidR="0041508A" w:rsidRPr="004720F6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OSO#17 Personel jest zdolny do przeprowadzenia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4720F6" w:rsidRDefault="0041508A" w:rsidP="00BC4C4F">
            <w:pPr>
              <w:jc w:val="center"/>
              <w:rPr>
                <w:sz w:val="18"/>
                <w:szCs w:val="18"/>
              </w:rPr>
            </w:pPr>
            <w:r w:rsidRPr="00AF76A1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F3B52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Zasady określające, w jaki sposób personel oświadcza swoją zdolność do wykonania operacji (przed operacją) jest udokumentowana.</w:t>
            </w:r>
          </w:p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lastRenderedPageBreak/>
              <w:t>Oświadczenie personelu o zdolności do przeprowadzenia operacji (przed operacją) opiera się na zasadach określonych przez wnioskodawcę.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Nazwa dokumentu: INOP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Rozdział: Część A Sekcja 1.9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  <w:p w:rsidR="0041508A" w:rsidRPr="004720F6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2A34FE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2A34FE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2A34FE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2A34FE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2A34FE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2A34FE" w:rsidRDefault="0041508A" w:rsidP="00BC4C4F">
            <w:pPr>
              <w:jc w:val="center"/>
              <w:rPr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2A34FE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 xml:space="preserve">Uzupełnia </w:t>
            </w: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41508A" w:rsidRPr="002A34FE" w:rsidTr="00BC4C4F">
        <w:tc>
          <w:tcPr>
            <w:tcW w:w="2265" w:type="dxa"/>
            <w:shd w:val="clear" w:color="auto" w:fill="FBE4D5" w:themeFill="accent2" w:themeFillTint="33"/>
          </w:tcPr>
          <w:p w:rsidR="0041508A" w:rsidRPr="002A34FE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OSO#18 Automatyczna ochrona obwiedni lotu przed błędami ludzkimi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2A34FE" w:rsidRDefault="0041508A" w:rsidP="00BC4C4F">
            <w:pPr>
              <w:jc w:val="center"/>
              <w:rPr>
                <w:sz w:val="18"/>
                <w:szCs w:val="18"/>
              </w:rPr>
            </w:pPr>
            <w:r w:rsidRPr="002A34FE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34FE" w:rsidRDefault="0041508A" w:rsidP="00BC4C4F">
            <w:pPr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34FE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2A34FE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2A34FE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2A34FE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2A34FE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2A34FE" w:rsidRDefault="0041508A" w:rsidP="00BC4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2A34FE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:rsidR="0041508A" w:rsidRPr="002A34FE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 xml:space="preserve">Uzupełnia </w:t>
            </w: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41508A" w:rsidRPr="002A34FE" w:rsidTr="00BC4C4F">
        <w:tc>
          <w:tcPr>
            <w:tcW w:w="2265" w:type="dxa"/>
            <w:shd w:val="clear" w:color="auto" w:fill="FBE4D5" w:themeFill="accent2" w:themeFillTint="33"/>
          </w:tcPr>
          <w:p w:rsidR="0041508A" w:rsidRPr="002A34FE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OSO#18 Automatyczna ochrona obwiedni lotu przed błędami ludzkimi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2A34FE" w:rsidRDefault="0041508A" w:rsidP="00BC4C4F">
            <w:pPr>
              <w:jc w:val="center"/>
              <w:rPr>
                <w:sz w:val="18"/>
                <w:szCs w:val="18"/>
              </w:rPr>
            </w:pPr>
            <w:r w:rsidRPr="002A34FE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2A34FE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Default="0041508A" w:rsidP="0041508A"/>
    <w:p w:rsidR="0041508A" w:rsidRDefault="0041508A" w:rsidP="0041508A"/>
    <w:p w:rsidR="0041508A" w:rsidRDefault="0041508A" w:rsidP="0041508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6D57A3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lastRenderedPageBreak/>
              <w:t>BŁĄD LUDZKI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6D57A3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 xml:space="preserve">Uzupełnia </w:t>
            </w: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41508A" w:rsidRPr="006D57A3" w:rsidTr="00BC4C4F"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6D57A3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OSO#19 Bezpieczne odzyskiwanie po zaistnieniu błędów ludzkich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Kryterium 1</w:t>
            </w:r>
          </w:p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(Procedury i listy kontrole)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6D57A3" w:rsidTr="00BC4C4F">
        <w:trPr>
          <w:trHeight w:val="211"/>
        </w:trPr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Kryterium nr 2</w:t>
            </w:r>
          </w:p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6D57A3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Kryterium nr 3</w:t>
            </w:r>
          </w:p>
          <w:p w:rsidR="0041508A" w:rsidRPr="006D57A3" w:rsidRDefault="0041508A" w:rsidP="00BC4C4F">
            <w:pPr>
              <w:jc w:val="center"/>
              <w:rPr>
                <w:i/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 xml:space="preserve">(Projekt </w:t>
            </w:r>
            <w:r>
              <w:rPr>
                <w:sz w:val="18"/>
                <w:szCs w:val="18"/>
              </w:rPr>
              <w:t>BSP</w:t>
            </w:r>
            <w:r w:rsidRPr="006D57A3">
              <w:rPr>
                <w:sz w:val="18"/>
                <w:szCs w:val="18"/>
              </w:rPr>
              <w:t>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spacing w:line="259" w:lineRule="auto"/>
              <w:jc w:val="both"/>
              <w:rPr>
                <w:i/>
                <w:sz w:val="18"/>
                <w:szCs w:val="18"/>
                <w:vertAlign w:val="superscript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6D57A3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6D57A3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2A34FE">
              <w:rPr>
                <w:b/>
                <w:sz w:val="18"/>
                <w:szCs w:val="18"/>
              </w:rPr>
              <w:t xml:space="preserve">Uzupełnia </w:t>
            </w: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41508A" w:rsidRPr="006D57A3" w:rsidTr="00BC4C4F"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6D57A3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OSO#19 Bezpieczne odzyskiwanie po zaistnieniu błędów ludzkich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Kryterium 1</w:t>
            </w:r>
          </w:p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(Procedury i listy kontrole)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6D57A3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Kryterium nr 2</w:t>
            </w:r>
          </w:p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6D57A3" w:rsidTr="00BC4C4F">
        <w:trPr>
          <w:trHeight w:val="60"/>
        </w:trPr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Kryterium nr 3</w:t>
            </w:r>
          </w:p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 xml:space="preserve">(Projekt </w:t>
            </w:r>
            <w:r>
              <w:rPr>
                <w:sz w:val="18"/>
                <w:szCs w:val="18"/>
              </w:rPr>
              <w:t>BSP</w:t>
            </w:r>
            <w:r w:rsidRPr="006D57A3">
              <w:rPr>
                <w:sz w:val="18"/>
                <w:szCs w:val="18"/>
              </w:rPr>
              <w:t>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spacing w:line="256" w:lineRule="auto"/>
              <w:jc w:val="both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7"/>
        <w:gridCol w:w="2324"/>
        <w:gridCol w:w="2332"/>
        <w:gridCol w:w="2199"/>
      </w:tblGrid>
      <w:tr w:rsidR="0041508A" w:rsidRPr="006D57A3" w:rsidTr="00BC4C4F">
        <w:tc>
          <w:tcPr>
            <w:tcW w:w="4531" w:type="dxa"/>
            <w:gridSpan w:val="2"/>
            <w:vMerge w:val="restart"/>
            <w:shd w:val="clear" w:color="auto" w:fill="F4B083" w:themeFill="accent2" w:themeFillTint="99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BŁĄD LUDZKI</w:t>
            </w:r>
          </w:p>
        </w:tc>
        <w:tc>
          <w:tcPr>
            <w:tcW w:w="4531" w:type="dxa"/>
            <w:gridSpan w:val="2"/>
            <w:shd w:val="clear" w:color="auto" w:fill="BDD6EE" w:themeFill="accent1" w:themeFillTint="66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6D57A3" w:rsidTr="00BC4C4F">
        <w:tc>
          <w:tcPr>
            <w:tcW w:w="4531" w:type="dxa"/>
            <w:gridSpan w:val="2"/>
            <w:vMerge/>
            <w:shd w:val="clear" w:color="auto" w:fill="F4B083" w:themeFill="accent2" w:themeFillTint="99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BDD6EE" w:themeFill="accent1" w:themeFillTint="66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 xml:space="preserve">Uzupełnia </w:t>
            </w: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41508A" w:rsidRPr="006D57A3" w:rsidTr="00BC4C4F">
        <w:tc>
          <w:tcPr>
            <w:tcW w:w="2207" w:type="dxa"/>
            <w:vMerge w:val="restart"/>
            <w:shd w:val="clear" w:color="auto" w:fill="FBE4D5" w:themeFill="accent2" w:themeFillTint="33"/>
          </w:tcPr>
          <w:p w:rsidR="0041508A" w:rsidRPr="006D57A3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OSO#20 Przeprowadzono ocenę czynników ludzkich, a HMI uznano za odpowiednie dla operacji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Kryteria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Interfejsy inf</w:t>
            </w:r>
            <w:r>
              <w:rPr>
                <w:sz w:val="18"/>
                <w:szCs w:val="18"/>
              </w:rPr>
              <w:t>ormacyjne i </w:t>
            </w:r>
            <w:r w:rsidRPr="006D57A3">
              <w:rPr>
                <w:sz w:val="18"/>
                <w:szCs w:val="18"/>
              </w:rPr>
              <w:t xml:space="preserve">sterowania </w:t>
            </w:r>
            <w:r>
              <w:rPr>
                <w:sz w:val="18"/>
                <w:szCs w:val="18"/>
              </w:rPr>
              <w:t>BSP są jasno i </w:t>
            </w:r>
            <w:r w:rsidRPr="006D57A3">
              <w:rPr>
                <w:sz w:val="18"/>
                <w:szCs w:val="18"/>
              </w:rPr>
              <w:t xml:space="preserve">zwięźle przedstawione, nie dezorientują i nie powodują </w:t>
            </w:r>
            <w:r>
              <w:rPr>
                <w:sz w:val="18"/>
                <w:szCs w:val="18"/>
              </w:rPr>
              <w:t>nadmiernego</w:t>
            </w:r>
            <w:r w:rsidRPr="006D57A3">
              <w:rPr>
                <w:sz w:val="18"/>
                <w:szCs w:val="18"/>
              </w:rPr>
              <w:t xml:space="preserve"> zmęczenia, ani nie przyczyniają się do błędów </w:t>
            </w:r>
            <w:r>
              <w:rPr>
                <w:sz w:val="18"/>
                <w:szCs w:val="18"/>
              </w:rPr>
              <w:t>personelu</w:t>
            </w:r>
            <w:r w:rsidRPr="006D57A3">
              <w:rPr>
                <w:sz w:val="18"/>
                <w:szCs w:val="18"/>
              </w:rPr>
              <w:t>, które mogłyby negatywnie wpłynąć na bezpieczeństwo operacji.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D804EC" w:rsidRDefault="00D804EC" w:rsidP="00D804EC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D804EC" w:rsidRDefault="00D804EC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Rozdział: Część T sekcja </w:t>
            </w:r>
            <w:r w:rsidRPr="001E6910">
              <w:rPr>
                <w:rFonts w:cs="Calibri"/>
                <w:sz w:val="18"/>
                <w:szCs w:val="18"/>
                <w:highlight w:val="yellow"/>
              </w:rPr>
              <w:t>6.1.6</w:t>
            </w:r>
          </w:p>
          <w:p w:rsidR="00D804EC" w:rsidRDefault="00D804EC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6D57A3" w:rsidTr="00BC4C4F">
        <w:tc>
          <w:tcPr>
            <w:tcW w:w="2207" w:type="dxa"/>
            <w:vMerge/>
            <w:shd w:val="clear" w:color="auto" w:fill="FBE4D5" w:themeFill="accent2" w:themeFillTint="33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FFFFFF" w:themeFill="background1"/>
          </w:tcPr>
          <w:p w:rsidR="0041508A" w:rsidRPr="006D57A3" w:rsidRDefault="0041508A" w:rsidP="00BC4C4F">
            <w:pPr>
              <w:jc w:val="center"/>
              <w:rPr>
                <w:i/>
                <w:sz w:val="18"/>
                <w:szCs w:val="18"/>
              </w:rPr>
            </w:pPr>
            <w:r w:rsidRPr="006D57A3">
              <w:rPr>
                <w:i/>
                <w:sz w:val="18"/>
                <w:szCs w:val="18"/>
              </w:rPr>
              <w:t>Komentarze</w:t>
            </w:r>
          </w:p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41508A" w:rsidRPr="006A20AE" w:rsidRDefault="0041508A" w:rsidP="00BC4C4F">
            <w:pPr>
              <w:jc w:val="both"/>
              <w:rPr>
                <w:i/>
                <w:sz w:val="18"/>
                <w:szCs w:val="18"/>
              </w:rPr>
            </w:pPr>
            <w:r w:rsidRPr="006A20AE">
              <w:rPr>
                <w:i/>
                <w:sz w:val="18"/>
                <w:szCs w:val="18"/>
              </w:rPr>
              <w:t xml:space="preserve">Jeżeli do wsparcia potencjalnych </w:t>
            </w:r>
            <w:r>
              <w:rPr>
                <w:i/>
                <w:sz w:val="18"/>
                <w:szCs w:val="18"/>
              </w:rPr>
              <w:t xml:space="preserve">obserwatorów przestrzeni powietrznej </w:t>
            </w:r>
            <w:r w:rsidRPr="006A20AE">
              <w:rPr>
                <w:i/>
                <w:sz w:val="18"/>
                <w:szCs w:val="18"/>
              </w:rPr>
              <w:t xml:space="preserve">w ich roli polegającej na utrzymywaniu świadomości pozycji </w:t>
            </w:r>
            <w:r>
              <w:rPr>
                <w:i/>
                <w:sz w:val="18"/>
                <w:szCs w:val="18"/>
              </w:rPr>
              <w:t>BSP</w:t>
            </w:r>
            <w:r w:rsidRPr="006A20AE">
              <w:rPr>
                <w:i/>
                <w:sz w:val="18"/>
                <w:szCs w:val="18"/>
              </w:rPr>
              <w:t xml:space="preserve"> wykorzystywane są środki elektroniczne, jego interfejs HMI:</w:t>
            </w:r>
          </w:p>
          <w:p w:rsidR="0041508A" w:rsidRPr="006D57A3" w:rsidRDefault="0041508A" w:rsidP="0041508A">
            <w:pPr>
              <w:pStyle w:val="Akapitzlist"/>
              <w:numPr>
                <w:ilvl w:val="0"/>
                <w:numId w:val="4"/>
              </w:numPr>
              <w:spacing w:line="259" w:lineRule="auto"/>
              <w:ind w:left="396"/>
              <w:jc w:val="both"/>
              <w:rPr>
                <w:i/>
                <w:sz w:val="18"/>
                <w:szCs w:val="18"/>
              </w:rPr>
            </w:pPr>
            <w:r w:rsidRPr="006D57A3">
              <w:rPr>
                <w:i/>
                <w:sz w:val="18"/>
                <w:szCs w:val="18"/>
              </w:rPr>
              <w:t xml:space="preserve">jest wystarczający, aby umożliwić </w:t>
            </w:r>
            <w:r>
              <w:rPr>
                <w:i/>
                <w:sz w:val="18"/>
                <w:szCs w:val="18"/>
              </w:rPr>
              <w:t>obserwatorowi</w:t>
            </w:r>
            <w:r w:rsidRPr="006D57A3">
              <w:rPr>
                <w:i/>
                <w:sz w:val="18"/>
                <w:szCs w:val="18"/>
              </w:rPr>
              <w:t xml:space="preserve"> określenie pozycji BSP w trakcie operacji; oraz</w:t>
            </w:r>
          </w:p>
          <w:p w:rsidR="0041508A" w:rsidRPr="006D57A3" w:rsidRDefault="0041508A" w:rsidP="0041508A">
            <w:pPr>
              <w:pStyle w:val="Akapitzlist"/>
              <w:numPr>
                <w:ilvl w:val="0"/>
                <w:numId w:val="4"/>
              </w:numPr>
              <w:spacing w:line="259" w:lineRule="auto"/>
              <w:ind w:left="396"/>
              <w:jc w:val="both"/>
              <w:rPr>
                <w:i/>
                <w:sz w:val="18"/>
                <w:szCs w:val="18"/>
              </w:rPr>
            </w:pPr>
            <w:r w:rsidRPr="006D57A3">
              <w:rPr>
                <w:i/>
                <w:sz w:val="18"/>
                <w:szCs w:val="18"/>
              </w:rPr>
              <w:t xml:space="preserve">nie zmniejsza zdolności </w:t>
            </w:r>
            <w:r>
              <w:rPr>
                <w:i/>
                <w:sz w:val="18"/>
                <w:szCs w:val="18"/>
              </w:rPr>
              <w:t>obserwatora</w:t>
            </w:r>
            <w:r w:rsidRPr="006D57A3">
              <w:rPr>
                <w:i/>
                <w:sz w:val="18"/>
                <w:szCs w:val="18"/>
              </w:rPr>
              <w:t xml:space="preserve"> do:</w:t>
            </w:r>
          </w:p>
          <w:p w:rsidR="0041508A" w:rsidRPr="006D57A3" w:rsidRDefault="0041508A" w:rsidP="0041508A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i/>
                <w:sz w:val="18"/>
                <w:szCs w:val="18"/>
              </w:rPr>
            </w:pPr>
            <w:r w:rsidRPr="006D57A3">
              <w:rPr>
                <w:i/>
                <w:sz w:val="18"/>
                <w:szCs w:val="18"/>
              </w:rPr>
              <w:t xml:space="preserve">obserwacji wizualnej przestrzeni powietrznej, w której </w:t>
            </w:r>
            <w:r>
              <w:rPr>
                <w:i/>
                <w:sz w:val="18"/>
                <w:szCs w:val="18"/>
              </w:rPr>
              <w:t>realizuje lot</w:t>
            </w:r>
            <w:r w:rsidRPr="006D57A3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BSP</w:t>
            </w:r>
            <w:r w:rsidRPr="006D57A3">
              <w:rPr>
                <w:i/>
                <w:sz w:val="18"/>
                <w:szCs w:val="18"/>
              </w:rPr>
              <w:t xml:space="preserve"> w celu wykrycia potencjalnego ryzyka kolizji; oraz</w:t>
            </w:r>
          </w:p>
          <w:p w:rsidR="0041508A" w:rsidRPr="006D57A3" w:rsidRDefault="0041508A" w:rsidP="0041508A">
            <w:pPr>
              <w:pStyle w:val="Akapitzlist"/>
              <w:numPr>
                <w:ilvl w:val="0"/>
                <w:numId w:val="5"/>
              </w:numPr>
              <w:spacing w:line="256" w:lineRule="auto"/>
              <w:jc w:val="both"/>
              <w:rPr>
                <w:i/>
                <w:sz w:val="18"/>
                <w:szCs w:val="18"/>
              </w:rPr>
            </w:pPr>
            <w:r w:rsidRPr="006D57A3">
              <w:rPr>
                <w:i/>
                <w:sz w:val="18"/>
                <w:szCs w:val="18"/>
              </w:rPr>
              <w:t>utrzymywania skutecznej i stałej komunikacji z pilotem</w:t>
            </w:r>
            <w:r>
              <w:rPr>
                <w:i/>
                <w:sz w:val="18"/>
                <w:szCs w:val="18"/>
              </w:rPr>
              <w:t xml:space="preserve"> BSP</w:t>
            </w:r>
            <w:r w:rsidRPr="006D57A3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99" w:type="dxa"/>
            <w:shd w:val="clear" w:color="auto" w:fill="FFFFFF" w:themeFill="background1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6D57A3" w:rsidTr="00BC4C4F">
        <w:tc>
          <w:tcPr>
            <w:tcW w:w="4531" w:type="dxa"/>
            <w:gridSpan w:val="2"/>
            <w:vMerge w:val="restart"/>
            <w:shd w:val="clear" w:color="auto" w:fill="F4B083" w:themeFill="accent2" w:themeFillTint="99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BŁĄD LUDZKI</w:t>
            </w:r>
          </w:p>
        </w:tc>
        <w:tc>
          <w:tcPr>
            <w:tcW w:w="4531" w:type="dxa"/>
            <w:gridSpan w:val="2"/>
            <w:shd w:val="clear" w:color="auto" w:fill="92D050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6D57A3" w:rsidTr="00BC4C4F">
        <w:tc>
          <w:tcPr>
            <w:tcW w:w="4531" w:type="dxa"/>
            <w:gridSpan w:val="2"/>
            <w:vMerge/>
            <w:shd w:val="clear" w:color="auto" w:fill="F4B083" w:themeFill="accent2" w:themeFillTint="99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92D050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199" w:type="dxa"/>
            <w:shd w:val="clear" w:color="auto" w:fill="92D050"/>
          </w:tcPr>
          <w:p w:rsidR="0041508A" w:rsidRPr="006D57A3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6D57A3">
              <w:rPr>
                <w:b/>
                <w:sz w:val="18"/>
                <w:szCs w:val="18"/>
              </w:rPr>
              <w:t xml:space="preserve">Uzupełnia </w:t>
            </w: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41508A" w:rsidRPr="006D57A3" w:rsidTr="00BC4C4F">
        <w:tc>
          <w:tcPr>
            <w:tcW w:w="2207" w:type="dxa"/>
            <w:shd w:val="clear" w:color="auto" w:fill="FBE4D5" w:themeFill="accent2" w:themeFillTint="33"/>
          </w:tcPr>
          <w:p w:rsidR="0041508A" w:rsidRPr="006D57A3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lastRenderedPageBreak/>
              <w:t>OSO#20 Przeprowadzono ocenę czynników ludzkich, a HMI uznano za odpowiednie dla operacji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Kryteria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Wnioskoda</w:t>
            </w:r>
            <w:r>
              <w:rPr>
                <w:sz w:val="18"/>
                <w:szCs w:val="18"/>
              </w:rPr>
              <w:t>wca przeprowadza ocenę czynnika ludzkiego</w:t>
            </w:r>
            <w:r w:rsidRPr="006D57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BSP</w:t>
            </w:r>
            <w:r w:rsidRPr="006D57A3">
              <w:rPr>
                <w:sz w:val="18"/>
                <w:szCs w:val="18"/>
              </w:rPr>
              <w:t xml:space="preserve">, aby ustalić, czy </w:t>
            </w:r>
            <w:r>
              <w:rPr>
                <w:sz w:val="18"/>
                <w:szCs w:val="18"/>
              </w:rPr>
              <w:t xml:space="preserve">interfejs </w:t>
            </w:r>
            <w:r w:rsidRPr="006D57A3">
              <w:rPr>
                <w:sz w:val="18"/>
                <w:szCs w:val="18"/>
              </w:rPr>
              <w:t xml:space="preserve">HMI jest odpowiedni dla </w:t>
            </w:r>
            <w:r>
              <w:rPr>
                <w:sz w:val="18"/>
                <w:szCs w:val="18"/>
              </w:rPr>
              <w:t>operacji</w:t>
            </w:r>
            <w:r w:rsidRPr="006D57A3">
              <w:rPr>
                <w:sz w:val="18"/>
                <w:szCs w:val="18"/>
              </w:rPr>
              <w:t>.  Ocena HMI opiera się na inspekcji lub analizach.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</w:t>
            </w:r>
            <w:r w:rsidR="00D804EC">
              <w:rPr>
                <w:rFonts w:cs="Calibri"/>
                <w:sz w:val="18"/>
                <w:szCs w:val="18"/>
              </w:rPr>
              <w:t>iał: Część T s</w:t>
            </w:r>
            <w:r>
              <w:rPr>
                <w:rFonts w:cs="Calibri"/>
                <w:sz w:val="18"/>
                <w:szCs w:val="18"/>
              </w:rPr>
              <w:t xml:space="preserve">ekcja </w:t>
            </w:r>
            <w:r w:rsidRPr="001E6910">
              <w:rPr>
                <w:rFonts w:cs="Calibri"/>
                <w:sz w:val="18"/>
                <w:szCs w:val="18"/>
                <w:highlight w:val="yellow"/>
              </w:rPr>
              <w:t>6.1.6</w:t>
            </w:r>
          </w:p>
          <w:p w:rsidR="0041508A" w:rsidRDefault="0041508A" w:rsidP="00BC4C4F">
            <w:pPr>
              <w:jc w:val="both"/>
              <w:rPr>
                <w:sz w:val="18"/>
                <w:szCs w:val="18"/>
              </w:rPr>
            </w:pP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  <w:p w:rsidR="0041508A" w:rsidRPr="006D57A3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1D3D35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NIEKORZYSTNE WARUNKI OPERACYJNE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D3D35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1D3D35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D3D35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D3D35">
              <w:rPr>
                <w:b/>
                <w:sz w:val="18"/>
                <w:szCs w:val="18"/>
              </w:rPr>
              <w:t xml:space="preserve">Uzupełnia </w:t>
            </w: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41508A" w:rsidRPr="001D3D35" w:rsidTr="00BC4C4F">
        <w:trPr>
          <w:trHeight w:val="1538"/>
        </w:trPr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1D3D35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 #23 Warunki środowiskowe dla bezpiecznej operacji są zdefiniowane, mierzalne i przestrzegane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 xml:space="preserve">Kryterium nr 1 </w:t>
            </w:r>
          </w:p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(Definicja)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Warunki środowiskowe dla bezpiecznych operacji zostały określone i odzwierciedlone w instrukcji obsługi producenta lub równoważnym dokumencie.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1D3D35" w:rsidTr="00BC4C4F">
        <w:trPr>
          <w:trHeight w:val="2197"/>
        </w:trPr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Kryterium nr 2</w:t>
            </w:r>
          </w:p>
          <w:p w:rsidR="0041508A" w:rsidRPr="001D3D35" w:rsidRDefault="0041508A" w:rsidP="00BC4C4F">
            <w:pPr>
              <w:jc w:val="center"/>
              <w:rPr>
                <w:i/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(Procedury)</w:t>
            </w:r>
          </w:p>
          <w:p w:rsidR="0041508A" w:rsidRPr="001D3D35" w:rsidRDefault="0041508A" w:rsidP="00BC4C4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both"/>
              <w:rPr>
                <w:i/>
                <w:sz w:val="18"/>
                <w:szCs w:val="18"/>
                <w:vertAlign w:val="superscript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Procedury oceny warunków środowiskowych przed misją i podczas misji (tj. ocena w czasie rzeczywistym) są dostępne i obejmują ocenę warunków meteorologicznych (METAR, TAFOR, itp.) za pomocą prostego systemu rejestracji.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</w:t>
            </w:r>
            <w:r w:rsidR="00D804EC">
              <w:rPr>
                <w:rFonts w:cs="Calibri"/>
                <w:sz w:val="18"/>
                <w:szCs w:val="18"/>
              </w:rPr>
              <w:t>zdział: Część B s</w:t>
            </w:r>
            <w:r>
              <w:rPr>
                <w:rFonts w:cs="Calibri"/>
                <w:sz w:val="18"/>
                <w:szCs w:val="18"/>
              </w:rPr>
              <w:t>ekcja 2.5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1D3D35" w:rsidTr="00BC4C4F">
        <w:trPr>
          <w:trHeight w:val="703"/>
        </w:trPr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Kryterium nr 3</w:t>
            </w:r>
          </w:p>
          <w:p w:rsidR="0041508A" w:rsidRPr="001D3D35" w:rsidRDefault="0041508A" w:rsidP="00BC4C4F">
            <w:pPr>
              <w:jc w:val="center"/>
              <w:rPr>
                <w:i/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636E1" w:rsidRDefault="0041508A" w:rsidP="00BC4C4F">
            <w:pPr>
              <w:spacing w:line="256" w:lineRule="auto"/>
              <w:jc w:val="both"/>
              <w:rPr>
                <w:sz w:val="18"/>
                <w:szCs w:val="18"/>
                <w:vertAlign w:val="superscript"/>
              </w:rPr>
            </w:pPr>
            <w:r w:rsidRPr="001636E1">
              <w:rPr>
                <w:sz w:val="18"/>
                <w:szCs w:val="18"/>
              </w:rPr>
              <w:t>Szkolenie obejmuje ocenę warunków meteorologicznych.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integralności.</w:t>
            </w:r>
          </w:p>
        </w:tc>
      </w:tr>
      <w:tr w:rsidR="0041508A" w:rsidRPr="001D3D35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NIEKORZYSTNE WARUNKI OPERACYJNE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D3D35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1D3D35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D3D35">
              <w:rPr>
                <w:b/>
                <w:sz w:val="18"/>
                <w:szCs w:val="18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:rsidR="0041508A" w:rsidRPr="001D3D35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D3D35">
              <w:rPr>
                <w:b/>
                <w:sz w:val="18"/>
                <w:szCs w:val="18"/>
              </w:rPr>
              <w:t xml:space="preserve">Uzupełnia </w:t>
            </w: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41508A" w:rsidRPr="001D3D35" w:rsidTr="00BC4C4F">
        <w:tc>
          <w:tcPr>
            <w:tcW w:w="2265" w:type="dxa"/>
            <w:vMerge w:val="restart"/>
            <w:shd w:val="clear" w:color="auto" w:fill="FBE4D5" w:themeFill="accent2" w:themeFillTint="33"/>
          </w:tcPr>
          <w:p w:rsidR="0041508A" w:rsidRPr="001D3D35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 #23 Warunki środowiskowe dla bezpiecznej operacji są zdefiniowane, mierzalne i przestrzegane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Kryterium nr 1</w:t>
            </w:r>
          </w:p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(Definicja)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Wnioskodawca oświadcza, że wymagany poziom integralności został osiągnięty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804EC" w:rsidRPr="000F5941" w:rsidRDefault="00D804EC" w:rsidP="00D804EC">
            <w:pPr>
              <w:jc w:val="both"/>
              <w:rPr>
                <w:rFonts w:cs="Calibri"/>
                <w:sz w:val="18"/>
                <w:szCs w:val="18"/>
              </w:rPr>
            </w:pPr>
            <w:r w:rsidRPr="000F5941">
              <w:rPr>
                <w:rFonts w:cs="Calibri"/>
                <w:sz w:val="18"/>
                <w:szCs w:val="18"/>
              </w:rPr>
              <w:t>Nazwa dokumentu: INOP</w:t>
            </w:r>
          </w:p>
          <w:p w:rsidR="00D804EC" w:rsidRPr="001A4A1E" w:rsidRDefault="00D804EC" w:rsidP="00D804EC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Rozdział: Część C sekcja </w:t>
            </w:r>
            <w:r>
              <w:rPr>
                <w:rFonts w:cs="Calibri"/>
                <w:sz w:val="18"/>
                <w:szCs w:val="18"/>
                <w:highlight w:val="yellow"/>
              </w:rPr>
              <w:t>3.</w:t>
            </w:r>
            <w:bookmarkStart w:id="0" w:name="_GoBack"/>
            <w:r w:rsidR="00184084">
              <w:rPr>
                <w:rFonts w:cs="Calibri"/>
                <w:sz w:val="18"/>
                <w:szCs w:val="18"/>
                <w:highlight w:val="yellow"/>
              </w:rPr>
              <w:t>1</w:t>
            </w:r>
            <w:bookmarkEnd w:id="0"/>
            <w:r>
              <w:rPr>
                <w:rFonts w:cs="Calibri"/>
                <w:sz w:val="18"/>
                <w:szCs w:val="18"/>
              </w:rPr>
              <w:t xml:space="preserve">, Załącznik </w:t>
            </w:r>
            <w:r w:rsidRPr="00EA1F59">
              <w:rPr>
                <w:rFonts w:cs="Calibri"/>
                <w:sz w:val="18"/>
                <w:szCs w:val="18"/>
                <w:highlight w:val="yellow"/>
              </w:rPr>
              <w:t>8.3.1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  <w:tr w:rsidR="0041508A" w:rsidRPr="001D3D35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Kryterium nr 2</w:t>
            </w:r>
          </w:p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(Procedury)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6F3B52" w:rsidRDefault="0041508A" w:rsidP="00BC4C4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 xml:space="preserve">(a) Procedury nie wymagają zatwierdzenia w stosunku do normy lub środka zgodności uznanego przez </w:t>
            </w:r>
            <w:r>
              <w:rPr>
                <w:rFonts w:cs="Calibri"/>
                <w:sz w:val="18"/>
                <w:szCs w:val="18"/>
              </w:rPr>
              <w:t>Prezesa Urzędu Lotnictwa Cywilnego</w:t>
            </w:r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r w:rsidRPr="006F3B52">
              <w:rPr>
                <w:rFonts w:ascii="Calibri" w:hAnsi="Calibri" w:cs="Calibri"/>
                <w:sz w:val="18"/>
                <w:szCs w:val="18"/>
              </w:rPr>
              <w:t xml:space="preserve">za odpowiedni.               </w:t>
            </w:r>
          </w:p>
          <w:p w:rsidR="0041508A" w:rsidRPr="001D3D35" w:rsidRDefault="0041508A" w:rsidP="00BC4C4F">
            <w:pPr>
              <w:spacing w:line="256" w:lineRule="auto"/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(b) Zadeklarowano adekwatność procedur i list kontrolnych.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pewności.</w:t>
            </w:r>
          </w:p>
        </w:tc>
      </w:tr>
      <w:tr w:rsidR="0041508A" w:rsidRPr="001D3D35" w:rsidTr="00BC4C4F">
        <w:tc>
          <w:tcPr>
            <w:tcW w:w="2265" w:type="dxa"/>
            <w:vMerge/>
            <w:shd w:val="clear" w:color="auto" w:fill="FBE4D5" w:themeFill="accent2" w:themeFillTint="33"/>
          </w:tcPr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Kryterium nr 3</w:t>
            </w:r>
          </w:p>
          <w:p w:rsidR="0041508A" w:rsidRPr="001D3D35" w:rsidRDefault="0041508A" w:rsidP="00BC4C4F">
            <w:pPr>
              <w:jc w:val="center"/>
              <w:rPr>
                <w:sz w:val="18"/>
                <w:szCs w:val="18"/>
              </w:rPr>
            </w:pPr>
            <w:r w:rsidRPr="001D3D35">
              <w:rPr>
                <w:sz w:val="18"/>
                <w:szCs w:val="18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Zadeklarowano szkolenie we własnym zakresie (z dostępnymi dokumentami potwierdzającymi).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Nazwa dokumentu: INOP</w:t>
            </w:r>
          </w:p>
          <w:p w:rsidR="0041508A" w:rsidRDefault="00D804EC" w:rsidP="00BC4C4F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Rozdział: Część D, Załącznik 8.2.3</w:t>
            </w:r>
          </w:p>
          <w:p w:rsidR="0041508A" w:rsidRDefault="0041508A" w:rsidP="00BC4C4F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41508A" w:rsidRPr="001D3D35" w:rsidRDefault="0041508A" w:rsidP="00BC4C4F">
            <w:pPr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Oświadczam spełnienie wymagań poziomu pewności</w:t>
            </w:r>
          </w:p>
        </w:tc>
      </w:tr>
    </w:tbl>
    <w:p w:rsidR="0041508A" w:rsidRDefault="0041508A" w:rsidP="0041508A"/>
    <w:p w:rsidR="0041508A" w:rsidRDefault="0041508A" w:rsidP="0041508A"/>
    <w:p w:rsidR="0041508A" w:rsidRDefault="0041508A" w:rsidP="00415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508A" w:rsidRPr="001636E1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NIEKORZYSTNE WARUNKI OPERACYJNE</w:t>
            </w:r>
          </w:p>
        </w:tc>
        <w:tc>
          <w:tcPr>
            <w:tcW w:w="4532" w:type="dxa"/>
            <w:gridSpan w:val="2"/>
            <w:shd w:val="clear" w:color="auto" w:fill="BDD6EE" w:themeFill="accent1" w:themeFillTint="66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Poziom integralności</w:t>
            </w:r>
          </w:p>
        </w:tc>
      </w:tr>
      <w:tr w:rsidR="0041508A" w:rsidRPr="001636E1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1636E1" w:rsidTr="00BC4C4F">
        <w:tc>
          <w:tcPr>
            <w:tcW w:w="2265" w:type="dxa"/>
            <w:shd w:val="clear" w:color="auto" w:fill="FBE4D5" w:themeFill="accent2" w:themeFillTint="33"/>
          </w:tcPr>
          <w:p w:rsidR="0041508A" w:rsidRPr="001636E1" w:rsidRDefault="0041508A" w:rsidP="00BC4C4F">
            <w:pPr>
              <w:rPr>
                <w:sz w:val="18"/>
                <w:szCs w:val="18"/>
              </w:rPr>
            </w:pPr>
            <w:bookmarkStart w:id="1" w:name="OLE_LINK272"/>
            <w:bookmarkStart w:id="2" w:name="OLE_LINK273"/>
            <w:r w:rsidRPr="006F3B52">
              <w:rPr>
                <w:rFonts w:ascii="Calibri" w:hAnsi="Calibri" w:cs="Calibri"/>
                <w:sz w:val="18"/>
                <w:szCs w:val="18"/>
              </w:rPr>
              <w:t>OSO#24 BSP został zaprojektowany i zakwalifikowany do eksploatacji w niesprzyjających warunkach środowiskowych</w:t>
            </w:r>
            <w:bookmarkEnd w:id="1"/>
            <w:bookmarkEnd w:id="2"/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1636E1" w:rsidRDefault="0041508A" w:rsidP="00BC4C4F">
            <w:pPr>
              <w:jc w:val="center"/>
              <w:rPr>
                <w:sz w:val="18"/>
                <w:szCs w:val="18"/>
              </w:rPr>
            </w:pPr>
            <w:r w:rsidRPr="001636E1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636E1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636E1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  <w:tr w:rsidR="0041508A" w:rsidRPr="001636E1" w:rsidTr="00BC4C4F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NIEKORZYSTNE WARUNKI OPERACYJNE</w:t>
            </w:r>
          </w:p>
        </w:tc>
        <w:tc>
          <w:tcPr>
            <w:tcW w:w="4532" w:type="dxa"/>
            <w:gridSpan w:val="2"/>
            <w:shd w:val="clear" w:color="auto" w:fill="92D050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Poziom pewności</w:t>
            </w:r>
          </w:p>
        </w:tc>
      </w:tr>
      <w:tr w:rsidR="0041508A" w:rsidRPr="001636E1" w:rsidTr="00BC4C4F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92D050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:rsidR="0041508A" w:rsidRPr="001636E1" w:rsidRDefault="0041508A" w:rsidP="00BC4C4F">
            <w:pPr>
              <w:jc w:val="center"/>
              <w:rPr>
                <w:b/>
                <w:sz w:val="18"/>
                <w:szCs w:val="18"/>
              </w:rPr>
            </w:pPr>
            <w:r w:rsidRPr="001636E1">
              <w:rPr>
                <w:b/>
                <w:sz w:val="18"/>
                <w:szCs w:val="18"/>
              </w:rPr>
              <w:t>Uzupełnia wnioskodawca</w:t>
            </w:r>
          </w:p>
        </w:tc>
      </w:tr>
      <w:tr w:rsidR="0041508A" w:rsidRPr="001636E1" w:rsidTr="00BC4C4F">
        <w:tc>
          <w:tcPr>
            <w:tcW w:w="2265" w:type="dxa"/>
            <w:shd w:val="clear" w:color="auto" w:fill="FBE4D5" w:themeFill="accent2" w:themeFillTint="33"/>
          </w:tcPr>
          <w:p w:rsidR="0041508A" w:rsidRPr="001636E1" w:rsidRDefault="0041508A" w:rsidP="00BC4C4F">
            <w:pPr>
              <w:rPr>
                <w:sz w:val="18"/>
                <w:szCs w:val="18"/>
              </w:rPr>
            </w:pPr>
            <w:r w:rsidRPr="006F3B52">
              <w:rPr>
                <w:rFonts w:ascii="Calibri" w:hAnsi="Calibri" w:cs="Calibri"/>
                <w:sz w:val="18"/>
                <w:szCs w:val="18"/>
              </w:rPr>
              <w:t>OSO#24 BSP został zaprojektowany i zakwalifikowany do eksploatacji w niesprzyjających warunkach środowiskowych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41508A" w:rsidRPr="001636E1" w:rsidRDefault="0041508A" w:rsidP="00BC4C4F">
            <w:pPr>
              <w:jc w:val="center"/>
              <w:rPr>
                <w:sz w:val="18"/>
                <w:szCs w:val="18"/>
              </w:rPr>
            </w:pPr>
            <w:r w:rsidRPr="001636E1">
              <w:rPr>
                <w:sz w:val="18"/>
                <w:szCs w:val="18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636E1" w:rsidRDefault="0041508A" w:rsidP="00BC4C4F">
            <w:pPr>
              <w:jc w:val="center"/>
              <w:rPr>
                <w:sz w:val="18"/>
                <w:szCs w:val="18"/>
              </w:rPr>
            </w:pPr>
            <w:r w:rsidRPr="006D57A3">
              <w:rPr>
                <w:sz w:val="18"/>
                <w:szCs w:val="18"/>
              </w:rPr>
              <w:t>Według wnioskującego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1508A" w:rsidRPr="001636E1" w:rsidRDefault="0041508A" w:rsidP="00BC4C4F">
            <w:pPr>
              <w:jc w:val="both"/>
              <w:rPr>
                <w:sz w:val="18"/>
                <w:szCs w:val="18"/>
              </w:rPr>
            </w:pPr>
          </w:p>
        </w:tc>
      </w:tr>
    </w:tbl>
    <w:p w:rsidR="0041508A" w:rsidRPr="00896797" w:rsidRDefault="0041508A" w:rsidP="0041508A"/>
    <w:p w:rsidR="00996592" w:rsidRDefault="00996592"/>
    <w:sectPr w:rsidR="0099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CF1"/>
    <w:multiLevelType w:val="hybridMultilevel"/>
    <w:tmpl w:val="8AF4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E3986"/>
    <w:multiLevelType w:val="hybridMultilevel"/>
    <w:tmpl w:val="51686342"/>
    <w:lvl w:ilvl="0" w:tplc="097A1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74E17"/>
    <w:multiLevelType w:val="hybridMultilevel"/>
    <w:tmpl w:val="BB566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7F038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91A8C"/>
    <w:multiLevelType w:val="multilevel"/>
    <w:tmpl w:val="4784E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6C669C"/>
    <w:multiLevelType w:val="hybridMultilevel"/>
    <w:tmpl w:val="7BE2F142"/>
    <w:lvl w:ilvl="0" w:tplc="22603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67508"/>
    <w:multiLevelType w:val="hybridMultilevel"/>
    <w:tmpl w:val="23D04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CC"/>
    <w:rsid w:val="000F02EA"/>
    <w:rsid w:val="00184084"/>
    <w:rsid w:val="001E6750"/>
    <w:rsid w:val="002A7EE7"/>
    <w:rsid w:val="002F0277"/>
    <w:rsid w:val="00342CF7"/>
    <w:rsid w:val="003839AE"/>
    <w:rsid w:val="0041508A"/>
    <w:rsid w:val="00422B6C"/>
    <w:rsid w:val="00560F06"/>
    <w:rsid w:val="00660029"/>
    <w:rsid w:val="00726E92"/>
    <w:rsid w:val="00735FFF"/>
    <w:rsid w:val="008A59B6"/>
    <w:rsid w:val="008B507A"/>
    <w:rsid w:val="008B709F"/>
    <w:rsid w:val="00912C59"/>
    <w:rsid w:val="00996592"/>
    <w:rsid w:val="00A53E7D"/>
    <w:rsid w:val="00BC4C4F"/>
    <w:rsid w:val="00D43398"/>
    <w:rsid w:val="00D63A97"/>
    <w:rsid w:val="00D748CC"/>
    <w:rsid w:val="00D804EC"/>
    <w:rsid w:val="00EA4050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73F19-5904-45A0-BBA6-72B185D0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8A"/>
  </w:style>
  <w:style w:type="paragraph" w:styleId="Nagwek1">
    <w:name w:val="heading 1"/>
    <w:basedOn w:val="Normalny"/>
    <w:link w:val="Nagwek1Znak"/>
    <w:uiPriority w:val="9"/>
    <w:qFormat/>
    <w:rsid w:val="00415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0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41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0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0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0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0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0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0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0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0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0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0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1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508A"/>
    <w:rPr>
      <w:color w:val="0000FF"/>
      <w:u w:val="single"/>
    </w:rPr>
  </w:style>
  <w:style w:type="table" w:customStyle="1" w:styleId="Tabela-Siatka11111">
    <w:name w:val="Tabela - Siatka11111"/>
    <w:basedOn w:val="Standardowy"/>
    <w:uiPriority w:val="39"/>
    <w:rsid w:val="0041508A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-m-wikipedia-org.translate.goog/wiki/Code-division_multiple_access?_x_tr_sl=en&amp;_x_tr_tl=pl&amp;_x_tr_hl=pl&amp;_x_tr_pto=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-m-wikipedia-org.translate.goog/wiki/Receiver_(radio)?_x_tr_sl=en&amp;_x_tr_tl=pl&amp;_x_tr_hl=pl&amp;_x_tr_pto=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-m-wikipedia-org.translate.goog/wiki/Transmitter?_x_tr_sl=en&amp;_x_tr_tl=pl&amp;_x_tr_hl=pl&amp;_x_tr_pto=sc" TargetMode="External"/><Relationship Id="rId5" Type="http://schemas.openxmlformats.org/officeDocument/2006/relationships/hyperlink" Target="https://www.easa.europa.eu/en/document-library/easy-access-rules/easy-access-rules-unmanned-aircraft-systems-regulations-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3172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Droździkowska Aleksandra</dc:creator>
  <cp:keywords/>
  <dc:description/>
  <cp:lastModifiedBy>Droździkowska Aleksandra</cp:lastModifiedBy>
  <cp:revision>16</cp:revision>
  <dcterms:created xsi:type="dcterms:W3CDTF">2023-12-15T09:18:00Z</dcterms:created>
  <dcterms:modified xsi:type="dcterms:W3CDTF">2025-01-13T13:23:00Z</dcterms:modified>
</cp:coreProperties>
</file>