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9E" w:rsidRDefault="002F289E">
      <w:r w:rsidRPr="002F289E">
        <w:t xml:space="preserve">Szczegóły znajdują się w Załączniku D w dokumencie </w:t>
      </w:r>
      <w:proofErr w:type="spellStart"/>
      <w:r w:rsidRPr="002F289E">
        <w:t>Easy</w:t>
      </w:r>
      <w:proofErr w:type="spellEnd"/>
      <w:r w:rsidRPr="002F289E">
        <w:t xml:space="preserve"> Access </w:t>
      </w:r>
      <w:proofErr w:type="spellStart"/>
      <w:r w:rsidRPr="002F289E">
        <w:t>Rules</w:t>
      </w:r>
      <w:proofErr w:type="spellEnd"/>
      <w:r w:rsidRPr="002F289E">
        <w:t xml:space="preserve"> for </w:t>
      </w:r>
      <w:proofErr w:type="spellStart"/>
      <w:r w:rsidRPr="002F289E">
        <w:t>Unmanned</w:t>
      </w:r>
      <w:proofErr w:type="spellEnd"/>
      <w:r w:rsidRPr="002F289E">
        <w:t xml:space="preserve"> Aircraft Systems (</w:t>
      </w:r>
      <w:proofErr w:type="spellStart"/>
      <w:r w:rsidRPr="002F289E">
        <w:t>Regulations</w:t>
      </w:r>
      <w:proofErr w:type="spellEnd"/>
      <w:r w:rsidRPr="002F289E">
        <w:t xml:space="preserve"> (EU) 2019-947 and (EU) 2019-945): </w:t>
      </w:r>
      <w:hyperlink r:id="rId4" w:history="1">
        <w:r w:rsidRPr="002F289E">
          <w:rPr>
            <w:rStyle w:val="Hipercze"/>
          </w:rPr>
          <w:t>https://www.easa.europa.eu/en/document-library/easy-access-rules/easy-access-rules-unmanned-aircraft-systems-regulations-eu</w:t>
        </w:r>
      </w:hyperlink>
      <w:r>
        <w:t xml:space="preserve"> </w:t>
      </w:r>
    </w:p>
    <w:p w:rsidR="002F289E" w:rsidRPr="002F289E" w:rsidRDefault="002F289E"/>
    <w:p w:rsidR="002F289E" w:rsidRPr="002F289E" w:rsidRDefault="002F289E">
      <w:pPr>
        <w:rPr>
          <w:b/>
        </w:rPr>
      </w:pPr>
      <w:r w:rsidRPr="002F289E">
        <w:rPr>
          <w:b/>
        </w:rPr>
        <w:t>Operacje BVLOS, Arc-c: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3572"/>
        <w:gridCol w:w="3555"/>
      </w:tblGrid>
      <w:tr w:rsidR="00D13477" w:rsidRPr="00630047" w:rsidTr="004C052B">
        <w:tc>
          <w:tcPr>
            <w:tcW w:w="1935" w:type="dxa"/>
            <w:vMerge w:val="restart"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127" w:type="dxa"/>
            <w:gridSpan w:val="2"/>
            <w:shd w:val="clear" w:color="auto" w:fill="BDD6EE" w:themeFill="accent1" w:themeFillTint="66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Poziom TMPR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D13477" w:rsidRPr="00630047" w:rsidTr="004C052B">
        <w:tc>
          <w:tcPr>
            <w:tcW w:w="1935" w:type="dxa"/>
            <w:vMerge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572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Arc-</w:t>
            </w:r>
            <w:r>
              <w:rPr>
                <w:color w:val="000000" w:themeColor="text1"/>
                <w:lang w:val="pl-PL"/>
              </w:rPr>
              <w:t>c</w:t>
            </w:r>
          </w:p>
        </w:tc>
        <w:tc>
          <w:tcPr>
            <w:tcW w:w="3555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D13477" w:rsidRPr="00290D49" w:rsidTr="004C052B">
        <w:tc>
          <w:tcPr>
            <w:tcW w:w="1935" w:type="dxa"/>
            <w:shd w:val="clear" w:color="auto" w:fill="FFF2CC" w:themeFill="accent4" w:themeFillTint="33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Wykrycie</w:t>
            </w:r>
            <w:r w:rsidRPr="00F079A2">
              <w:rPr>
                <w:rFonts w:cs="Calibri"/>
                <w:color w:val="000000" w:themeColor="text1"/>
                <w:lang w:val="pl-PL"/>
              </w:rPr>
              <w:t>¹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572" w:type="dxa"/>
            <w:shd w:val="clear" w:color="auto" w:fill="E7E6E6" w:themeFill="background2"/>
          </w:tcPr>
          <w:p w:rsidR="00D13477" w:rsidRPr="00AF24C8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Oczekuje się, że plan DAA wnioskodawcy umożliwi operatorowi wykrycie około 90% wszystkich statków powietrznych w przestrzeni wykrywania</w:t>
            </w:r>
            <w:r w:rsidRPr="00AF24C8">
              <w:rPr>
                <w:rFonts w:cs="Calibri"/>
                <w:color w:val="000000" w:themeColor="text1"/>
                <w:lang w:val="pl-PL"/>
              </w:rPr>
              <w:t>²</w:t>
            </w:r>
            <w:r w:rsidRPr="00AF24C8">
              <w:rPr>
                <w:color w:val="000000" w:themeColor="text1"/>
                <w:lang w:val="pl-PL"/>
              </w:rPr>
              <w:t xml:space="preserve">. Aby </w:t>
            </w:r>
            <w:r w:rsidR="002F289E">
              <w:rPr>
                <w:color w:val="000000" w:themeColor="text1"/>
                <w:lang w:val="pl-PL"/>
              </w:rPr>
              <w:t>osiągnąć ten cel</w:t>
            </w:r>
            <w:r w:rsidRPr="00AF24C8">
              <w:rPr>
                <w:color w:val="000000" w:themeColor="text1"/>
                <w:lang w:val="pl-PL"/>
              </w:rPr>
              <w:t xml:space="preserve">, wnioskodawca </w:t>
            </w:r>
            <w:r w:rsidR="002F289E">
              <w:rPr>
                <w:color w:val="000000" w:themeColor="text1"/>
                <w:lang w:val="pl-PL"/>
              </w:rPr>
              <w:t>powinien</w:t>
            </w:r>
            <w:r w:rsidRPr="00AF24C8">
              <w:rPr>
                <w:color w:val="000000" w:themeColor="text1"/>
                <w:lang w:val="pl-PL"/>
              </w:rPr>
              <w:t xml:space="preserve"> polegać na jednym lub kombinacji następujących systemów lub usług: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naziemny system DAA/RADAR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FLARM </w:t>
            </w:r>
            <w:r w:rsidRPr="00AF24C8">
              <w:rPr>
                <w:rFonts w:cs="Calibri"/>
                <w:color w:val="000000" w:themeColor="text1"/>
                <w:lang w:val="pl-PL"/>
              </w:rPr>
              <w:t>³′⁶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en-US"/>
              </w:rPr>
            </w:pPr>
            <w:r w:rsidRPr="00AF24C8">
              <w:rPr>
                <w:color w:val="000000" w:themeColor="text1"/>
                <w:lang w:val="en-US"/>
              </w:rPr>
              <w:t xml:space="preserve">• </w:t>
            </w:r>
            <w:r w:rsidR="002F289E">
              <w:rPr>
                <w:color w:val="000000" w:themeColor="text1"/>
                <w:lang w:val="en-US"/>
              </w:rPr>
              <w:t>Pilot Aware</w:t>
            </w:r>
            <w:r w:rsidRPr="00AF24C8">
              <w:rPr>
                <w:color w:val="000000" w:themeColor="text1"/>
                <w:lang w:val="en-US"/>
              </w:rPr>
              <w:t xml:space="preserve"> </w:t>
            </w:r>
            <w:r w:rsidRPr="00AF24C8">
              <w:rPr>
                <w:rFonts w:cs="Calibri"/>
                <w:color w:val="000000" w:themeColor="text1"/>
                <w:lang w:val="en-US"/>
              </w:rPr>
              <w:t>³′⁶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en-US"/>
              </w:rPr>
            </w:pPr>
            <w:r w:rsidRPr="00AF24C8">
              <w:rPr>
                <w:color w:val="000000" w:themeColor="text1"/>
                <w:lang w:val="en-US"/>
              </w:rPr>
              <w:t xml:space="preserve">• </w:t>
            </w:r>
            <w:proofErr w:type="spellStart"/>
            <w:r w:rsidR="002F289E">
              <w:rPr>
                <w:color w:val="000000" w:themeColor="text1"/>
                <w:lang w:val="en-US"/>
              </w:rPr>
              <w:t>Odbiornik</w:t>
            </w:r>
            <w:proofErr w:type="spellEnd"/>
            <w:r w:rsidR="002F289E">
              <w:rPr>
                <w:color w:val="000000" w:themeColor="text1"/>
                <w:lang w:val="en-US"/>
              </w:rPr>
              <w:t xml:space="preserve"> ADS-B In/UAT</w:t>
            </w:r>
            <w:r w:rsidRPr="00AF24C8">
              <w:rPr>
                <w:rFonts w:cs="Calibri"/>
                <w:color w:val="000000" w:themeColor="text1"/>
                <w:lang w:val="en-US"/>
              </w:rPr>
              <w:t>⁶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Usługi separacji ATC</w:t>
            </w:r>
            <w:r w:rsidRPr="00AF24C8">
              <w:rPr>
                <w:rFonts w:cs="Calibri"/>
                <w:color w:val="000000" w:themeColor="text1"/>
                <w:lang w:val="pl-PL"/>
              </w:rPr>
              <w:t>⁷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Usługa nadzoru UTM/U-</w:t>
            </w:r>
            <w:proofErr w:type="spellStart"/>
            <w:r w:rsidRPr="00AF24C8">
              <w:rPr>
                <w:color w:val="000000" w:themeColor="text1"/>
                <w:lang w:val="pl-PL"/>
              </w:rPr>
              <w:t>space</w:t>
            </w:r>
            <w:proofErr w:type="spellEnd"/>
            <w:r w:rsidRPr="00AF24C8">
              <w:rPr>
                <w:rFonts w:cs="Calibri"/>
                <w:color w:val="000000" w:themeColor="text1"/>
                <w:lang w:val="pl-PL"/>
              </w:rPr>
              <w:t>⁴</w:t>
            </w:r>
          </w:p>
          <w:p w:rsidR="002F289E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Wczesne wykrywanie UTM/</w:t>
            </w:r>
            <w:r w:rsidR="002F289E">
              <w:rPr>
                <w:color w:val="000000" w:themeColor="text1"/>
                <w:lang w:val="pl-PL"/>
              </w:rPr>
              <w:t xml:space="preserve"> 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U-</w:t>
            </w:r>
            <w:proofErr w:type="spellStart"/>
            <w:r w:rsidRPr="00AF24C8">
              <w:rPr>
                <w:color w:val="000000" w:themeColor="text1"/>
                <w:lang w:val="pl-PL"/>
              </w:rPr>
              <w:t>space</w:t>
            </w:r>
            <w:proofErr w:type="spellEnd"/>
            <w:r w:rsidRPr="00AF24C8">
              <w:rPr>
                <w:color w:val="000000" w:themeColor="text1"/>
                <w:lang w:val="pl-PL"/>
              </w:rPr>
              <w:t xml:space="preserve"> oraz Resolution Service</w:t>
            </w:r>
            <w:r w:rsidRPr="00AF24C8">
              <w:rPr>
                <w:rFonts w:cs="Calibri"/>
                <w:color w:val="000000" w:themeColor="text1"/>
                <w:lang w:val="pl-PL"/>
              </w:rPr>
              <w:t>⁴</w:t>
            </w:r>
          </w:p>
          <w:p w:rsidR="00D13477" w:rsidRDefault="00D13477" w:rsidP="00AF24C8">
            <w:pPr>
              <w:jc w:val="left"/>
              <w:rPr>
                <w:rFonts w:cs="Calibri"/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Aktywna komunikacja z ATC i innymi użytkownikami przestrzeni powietrznej</w:t>
            </w:r>
            <w:r w:rsidRPr="00AF24C8">
              <w:rPr>
                <w:rFonts w:cs="Calibri"/>
                <w:color w:val="000000" w:themeColor="text1"/>
                <w:lang w:val="pl-PL"/>
              </w:rPr>
              <w:t>⁵</w:t>
            </w:r>
          </w:p>
          <w:p w:rsidR="002F289E" w:rsidRPr="00AF24C8" w:rsidRDefault="002F289E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4802F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Operator zapewnia ocenę skuteczności wybranych narzędzi/metod wykrywania.</w:t>
            </w:r>
          </w:p>
        </w:tc>
        <w:tc>
          <w:tcPr>
            <w:tcW w:w="3555" w:type="dxa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</w:tr>
      <w:tr w:rsidR="004C052B" w:rsidRPr="00290D49" w:rsidTr="004C052B">
        <w:tc>
          <w:tcPr>
            <w:tcW w:w="9062" w:type="dxa"/>
            <w:gridSpan w:val="3"/>
            <w:shd w:val="clear" w:color="auto" w:fill="E7E6E6" w:themeFill="background2"/>
          </w:tcPr>
          <w:p w:rsidR="004C052B" w:rsidRPr="00AF24C8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¹Szczegóły dla tego zagadnienia wyjaśnione </w:t>
            </w: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zostały</w:t>
            </w: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 w 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Załączniku G do AMC.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Wykrywanie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powinno być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wykonywane z odpowiednią precyzją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, aby manewr unikania był skuteczny.</w:t>
            </w:r>
          </w:p>
          <w:p w:rsidR="004C052B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²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Przestrzeń wykrywania to obszar przestrzeni powietrznej (czasowy lub przestrzenny),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która jest wymagana do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uniknięcia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kolizji </w:t>
            </w:r>
          </w:p>
          <w:p w:rsidR="004C052B" w:rsidRPr="00AF24C8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(i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pozostania w odpowiedniej odległości, jeśli jest to wymagane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) z załogowym statkiem powietrznym. Granice przestrzeni wykrywania można interpretować jako ostatni punkt, w którym załogowy statek powietrzny musi zostać wykryty, aby system DAA był w stanie wykonywać wszystkie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funkcje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DAA.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Zasięg wykrywania nie jest powiązany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z czujnikami typu ‘Field of </w:t>
            </w:r>
            <w:proofErr w:type="spellStart"/>
            <w:r>
              <w:rPr>
                <w:color w:val="000000" w:themeColor="text1"/>
                <w:sz w:val="18"/>
                <w:szCs w:val="18"/>
                <w:lang w:val="pl-PL"/>
              </w:rPr>
              <w:t>View</w:t>
            </w:r>
            <w:proofErr w:type="spellEnd"/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/Field of </w:t>
            </w:r>
            <w:proofErr w:type="spellStart"/>
            <w:r>
              <w:rPr>
                <w:color w:val="000000" w:themeColor="text1"/>
                <w:sz w:val="18"/>
                <w:szCs w:val="18"/>
                <w:lang w:val="pl-PL"/>
              </w:rPr>
              <w:t>Regard</w:t>
            </w:r>
            <w:proofErr w:type="spellEnd"/>
            <w:r>
              <w:rPr>
                <w:color w:val="000000" w:themeColor="text1"/>
                <w:sz w:val="18"/>
                <w:szCs w:val="18"/>
                <w:lang w:val="pl-PL"/>
              </w:rPr>
              <w:t>’. Wielkość przestrzeni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wykrywania zależy od prędkości zbliżającego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się statku powietrznego, który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może zostać napotkany oraz </w:t>
            </w:r>
            <w:r w:rsidRPr="009650F3">
              <w:rPr>
                <w:color w:val="000000" w:themeColor="text1"/>
                <w:sz w:val="18"/>
                <w:szCs w:val="18"/>
                <w:lang w:val="pl-PL"/>
              </w:rPr>
              <w:t>czasu wymaganego przez pilota do wydania polecenia manewru omijania,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a także</w:t>
            </w:r>
            <w:r w:rsidRPr="009650F3">
              <w:rPr>
                <w:color w:val="000000" w:themeColor="text1"/>
                <w:sz w:val="18"/>
                <w:szCs w:val="18"/>
                <w:lang w:val="pl-PL"/>
              </w:rPr>
              <w:t xml:space="preserve"> czasu wymaganego przez system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na reakcję oraz zdolności manewrowych </w:t>
            </w:r>
            <w:r w:rsidRPr="009650F3">
              <w:rPr>
                <w:color w:val="000000" w:themeColor="text1"/>
                <w:sz w:val="18"/>
                <w:szCs w:val="18"/>
                <w:lang w:val="pl-PL"/>
              </w:rPr>
              <w:t>i osiągów statku powietrznego.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Przestrzeń wykrywania jest proporcjonal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nie większa niż próg alarmowy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.</w:t>
            </w:r>
          </w:p>
          <w:p w:rsidR="004C052B" w:rsidRPr="00AF24C8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³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FLARM i </w:t>
            </w:r>
            <w:proofErr w:type="spellStart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PilotAware</w:t>
            </w:r>
            <w:proofErr w:type="spellEnd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są komercyjnymi produktami dostępnymi na rynku (znakami towarowymi).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Zostały w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ymienione jako przykładowe technologie. Odniesienia do tych produktów nie oznaczają poparcia organu udzielającego homologacji dla ich stosowania. Mogą być również używane inne produkty oferujące podobne funkcje.</w:t>
            </w:r>
          </w:p>
          <w:p w:rsidR="004C052B" w:rsidRPr="00AF24C8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⁴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Odnoszą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się one do możliwych przyszłych zastosowań zautomatyzowanych systemów zarządzania ruchem dla bezzałogowych statków powietrznych w środowisku UTM/U-</w:t>
            </w:r>
            <w:proofErr w:type="spellStart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space</w:t>
            </w:r>
            <w:proofErr w:type="spellEnd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. Tego typu aplikacje mogą nie być obecnie dostępne.</w:t>
            </w:r>
          </w:p>
          <w:p w:rsidR="004C052B" w:rsidRPr="00AF24C8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  <w:lang w:val="pl-PL"/>
              </w:rPr>
              <w:t>5</w:t>
            </w:r>
            <w:r w:rsidRPr="00325AE5">
              <w:rPr>
                <w:color w:val="000000" w:themeColor="text1"/>
                <w:sz w:val="18"/>
                <w:szCs w:val="18"/>
              </w:rPr>
              <w:t>Je</w:t>
            </w:r>
            <w:r>
              <w:rPr>
                <w:color w:val="000000" w:themeColor="text1"/>
                <w:sz w:val="18"/>
                <w:szCs w:val="18"/>
              </w:rPr>
              <w:t>żeli jest to dozwolone przez UKE</w:t>
            </w:r>
            <w:r w:rsidRPr="00325AE5">
              <w:rPr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</w:rPr>
              <w:t>Możliwa wymagana licencja</w:t>
            </w:r>
            <w:r w:rsidRPr="00325AE5">
              <w:rPr>
                <w:color w:val="000000" w:themeColor="text1"/>
                <w:sz w:val="18"/>
                <w:szCs w:val="18"/>
              </w:rPr>
              <w:t xml:space="preserve"> lub </w:t>
            </w:r>
            <w:r>
              <w:rPr>
                <w:color w:val="000000" w:themeColor="text1"/>
                <w:sz w:val="18"/>
                <w:szCs w:val="18"/>
              </w:rPr>
              <w:t>pozwolenie radiowe</w:t>
            </w:r>
            <w:r w:rsidRPr="00325AE5">
              <w:rPr>
                <w:color w:val="000000" w:themeColor="text1"/>
                <w:sz w:val="18"/>
                <w:szCs w:val="18"/>
              </w:rPr>
              <w:t>.</w:t>
            </w:r>
          </w:p>
          <w:p w:rsidR="004C052B" w:rsidRPr="00AF24C8" w:rsidRDefault="004C052B" w:rsidP="004C052B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lastRenderedPageBreak/>
              <w:t>⁶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Wybór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systemów wspomagających elektroniczne wykrywanie ruchu powinien być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dokonywany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z uwzględnieniem przeciętnego wyposażenia większości st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atków powietrznych operujących na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danym obszarze. Na przykład: na obszarach,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których operuje wiele szybowców, należy rozważyć użycie FLARM lub podobnych systemów, podczas gdy w przypadku operacji w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pobliżu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statków powietrznych eksploatowanych w celach komercyjnych, prawdopodobnie bardziej odpowiednie jest ADS-B IN. Odnosi się to również do możliwych przyszłych zastosowań zautomatyzowanych systemów zarządzania ruchem dla bezzałogowych statków powietrznych w środowisku UTM/U-</w:t>
            </w:r>
            <w:proofErr w:type="spellStart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space</w:t>
            </w:r>
            <w:proofErr w:type="spellEnd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. Tego typu aplikacje mogą nie być obecnie dostępne. Usługi mogą być świadczone w ramach abonamentu.</w:t>
            </w:r>
          </w:p>
          <w:p w:rsidR="004C052B" w:rsidRPr="00AF24C8" w:rsidRDefault="004C052B" w:rsidP="004C052B">
            <w:pPr>
              <w:rPr>
                <w:color w:val="000000" w:themeColor="text1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⁷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Wybór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systemów wspomagających elektroniczne wykrywanie ruchu powinien być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dokonywany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z uwzględnieniem przeciętnego wyposażenia większości st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atków powietrznych operujących na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danym obszarze.</w:t>
            </w:r>
          </w:p>
        </w:tc>
      </w:tr>
    </w:tbl>
    <w:p w:rsidR="00D13477" w:rsidRDefault="00D134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2"/>
        <w:gridCol w:w="3590"/>
        <w:gridCol w:w="3540"/>
      </w:tblGrid>
      <w:tr w:rsidR="00D13477" w:rsidRPr="008B09C6" w:rsidTr="00AF24C8">
        <w:tc>
          <w:tcPr>
            <w:tcW w:w="1980" w:type="dxa"/>
            <w:vMerge w:val="restart"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648" w:type="dxa"/>
            <w:gridSpan w:val="2"/>
            <w:shd w:val="clear" w:color="auto" w:fill="BDD6EE" w:themeFill="accent1" w:themeFillTint="66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Poziom TMPR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D13477" w:rsidRPr="008B09C6" w:rsidTr="00AF24C8">
        <w:tc>
          <w:tcPr>
            <w:tcW w:w="1980" w:type="dxa"/>
            <w:vMerge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827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Arc-</w:t>
            </w:r>
            <w:r>
              <w:rPr>
                <w:color w:val="000000" w:themeColor="text1"/>
                <w:lang w:val="pl-PL"/>
              </w:rPr>
              <w:t>c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821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D13477" w:rsidRPr="00290D49" w:rsidTr="00AF24C8">
        <w:tc>
          <w:tcPr>
            <w:tcW w:w="1980" w:type="dxa"/>
            <w:shd w:val="clear" w:color="auto" w:fill="FFF2CC" w:themeFill="accent4" w:themeFillTint="33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rFonts w:cs="Calibri"/>
                <w:color w:val="000000" w:themeColor="text1"/>
                <w:lang w:val="pl-PL"/>
              </w:rPr>
              <w:t>Podjęcie decyzji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2F289E" w:rsidRPr="00AF24C8" w:rsidRDefault="002F289E" w:rsidP="002F289E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Operator powinien posiadać udokumentowany </w:t>
            </w:r>
            <w:r>
              <w:rPr>
                <w:color w:val="000000" w:themeColor="text1"/>
                <w:lang w:val="pl-PL"/>
              </w:rPr>
              <w:t>schemat</w:t>
            </w:r>
            <w:r w:rsidRPr="00AF24C8">
              <w:rPr>
                <w:color w:val="000000" w:themeColor="text1"/>
                <w:lang w:val="pl-PL"/>
              </w:rPr>
              <w:t xml:space="preserve"> na okoliczność wykrycia </w:t>
            </w:r>
            <w:r w:rsidR="004C052B">
              <w:rPr>
                <w:color w:val="000000" w:themeColor="text1"/>
                <w:lang w:val="pl-PL"/>
              </w:rPr>
              <w:t xml:space="preserve">ruchu </w:t>
            </w:r>
            <w:r w:rsidRPr="00AF24C8">
              <w:rPr>
                <w:color w:val="000000" w:themeColor="text1"/>
                <w:lang w:val="pl-PL"/>
              </w:rPr>
              <w:t>kolizyjnego, w którym wyjaśnia jakie narzędzia lub metod</w:t>
            </w:r>
            <w:r w:rsidR="004C052B">
              <w:rPr>
                <w:color w:val="000000" w:themeColor="text1"/>
                <w:lang w:val="pl-PL"/>
              </w:rPr>
              <w:t>y będą stosowane do wykrywania oraz</w:t>
            </w:r>
            <w:r w:rsidRPr="00AF24C8">
              <w:rPr>
                <w:color w:val="000000" w:themeColor="text1"/>
                <w:lang w:val="pl-PL"/>
              </w:rPr>
              <w:t xml:space="preserve"> jakie kryteria będą stosowane przy podejmowaniu decyzji o unikaniu napotkanych statków powietrznych. W przypadku, gdy pilot polega na wykrywaniu przez osoby trzecie, należy również opisać użycie </w:t>
            </w:r>
            <w:r w:rsidR="004C052B">
              <w:rPr>
                <w:color w:val="000000" w:themeColor="text1"/>
                <w:lang w:val="pl-PL"/>
              </w:rPr>
              <w:t>stosowanej</w:t>
            </w:r>
            <w:r w:rsidR="004C052B" w:rsidRPr="00AF24C8">
              <w:rPr>
                <w:color w:val="000000" w:themeColor="text1"/>
                <w:lang w:val="pl-PL"/>
              </w:rPr>
              <w:t xml:space="preserve"> </w:t>
            </w:r>
            <w:r w:rsidRPr="00AF24C8">
              <w:rPr>
                <w:color w:val="000000" w:themeColor="text1"/>
                <w:lang w:val="pl-PL"/>
              </w:rPr>
              <w:t>frazeologii do komunikacji.</w:t>
            </w:r>
          </w:p>
          <w:p w:rsidR="002F289E" w:rsidRPr="00AF24C8" w:rsidRDefault="002F289E" w:rsidP="002F289E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Przykłady:</w:t>
            </w:r>
          </w:p>
          <w:p w:rsidR="002F289E" w:rsidRPr="00AF24C8" w:rsidRDefault="002F289E" w:rsidP="002F289E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Operator zainicjuje szybkie zniżanie, jeśli zauważony </w:t>
            </w:r>
            <w:r>
              <w:rPr>
                <w:color w:val="000000" w:themeColor="text1"/>
                <w:lang w:val="pl-PL"/>
              </w:rPr>
              <w:t>statek powietrzny przekracza</w:t>
            </w:r>
            <w:r w:rsidRPr="00AF24C8">
              <w:rPr>
                <w:color w:val="000000" w:themeColor="text1"/>
                <w:lang w:val="pl-PL"/>
              </w:rPr>
              <w:t xml:space="preserve"> granicę progu</w:t>
            </w:r>
            <w:r>
              <w:rPr>
                <w:color w:val="000000" w:themeColor="text1"/>
                <w:lang w:val="pl-PL"/>
              </w:rPr>
              <w:t xml:space="preserve"> alarmowego i operuje na wysokości mniejszej</w:t>
            </w:r>
            <w:r w:rsidRPr="00AF24C8">
              <w:rPr>
                <w:color w:val="000000" w:themeColor="text1"/>
                <w:lang w:val="pl-PL"/>
              </w:rPr>
              <w:t xml:space="preserve"> niż 1000 </w:t>
            </w:r>
            <w:r>
              <w:rPr>
                <w:color w:val="000000" w:themeColor="text1"/>
                <w:lang w:val="pl-PL"/>
              </w:rPr>
              <w:t>ft</w:t>
            </w:r>
            <w:r w:rsidRPr="00AF24C8">
              <w:rPr>
                <w:color w:val="000000" w:themeColor="text1"/>
                <w:lang w:val="pl-PL"/>
              </w:rPr>
              <w:t>.</w:t>
            </w:r>
          </w:p>
          <w:p w:rsidR="002F289E" w:rsidRPr="00AF24C8" w:rsidRDefault="002F289E" w:rsidP="002F289E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Obserwator monitorujący ruch używa wyrażenia:</w:t>
            </w:r>
          </w:p>
          <w:p w:rsidR="00D13477" w:rsidRPr="004802F8" w:rsidRDefault="002F289E" w:rsidP="002F289E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„ZNIŻAJ!, ZNIŻAJ!, ZNIŻAJ!”</w:t>
            </w:r>
          </w:p>
          <w:p w:rsidR="00D13477" w:rsidRPr="004802F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4802F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4802F8">
              <w:rPr>
                <w:color w:val="000000" w:themeColor="text1"/>
                <w:lang w:val="pl-PL"/>
              </w:rPr>
              <w:t>oraz:</w:t>
            </w:r>
          </w:p>
          <w:p w:rsidR="00D13477" w:rsidRPr="004802F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1. Operator zapewnia ocenę czynników </w:t>
            </w:r>
            <w:r w:rsidR="002F289E">
              <w:rPr>
                <w:color w:val="000000" w:themeColor="text1"/>
                <w:lang w:val="pl-PL"/>
              </w:rPr>
              <w:t>interfejsu</w:t>
            </w:r>
            <w:r w:rsidRPr="00AF24C8">
              <w:rPr>
                <w:color w:val="000000" w:themeColor="text1"/>
                <w:lang w:val="pl-PL"/>
              </w:rPr>
              <w:t xml:space="preserve"> </w:t>
            </w:r>
            <w:r w:rsidR="002F289E">
              <w:rPr>
                <w:color w:val="000000" w:themeColor="text1"/>
                <w:lang w:val="pl-PL"/>
              </w:rPr>
              <w:t>człowiek-</w:t>
            </w:r>
            <w:r w:rsidRPr="00AF24C8">
              <w:rPr>
                <w:color w:val="000000" w:themeColor="text1"/>
                <w:lang w:val="pl-PL"/>
              </w:rPr>
              <w:t xml:space="preserve">maszyna, które mogą wpływać na zdolność pilota do </w:t>
            </w:r>
            <w:r w:rsidR="00ED6C8F">
              <w:rPr>
                <w:color w:val="000000" w:themeColor="text1"/>
                <w:lang w:val="pl-PL"/>
              </w:rPr>
              <w:t>podjęcia</w:t>
            </w:r>
            <w:r w:rsidRPr="00AF24C8">
              <w:rPr>
                <w:color w:val="000000" w:themeColor="text1"/>
                <w:lang w:val="pl-PL"/>
              </w:rPr>
              <w:t xml:space="preserve"> decyzji we właściwym czasie.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2. Operator zapewn</w:t>
            </w:r>
            <w:r w:rsidR="004C052B">
              <w:rPr>
                <w:color w:val="000000" w:themeColor="text1"/>
                <w:lang w:val="pl-PL"/>
              </w:rPr>
              <w:t>ia ocenę skuteczności narzędzi oraz</w:t>
            </w:r>
            <w:r w:rsidRPr="00AF24C8">
              <w:rPr>
                <w:color w:val="000000" w:themeColor="text1"/>
                <w:lang w:val="pl-PL"/>
              </w:rPr>
              <w:t xml:space="preserve"> metod </w:t>
            </w:r>
            <w:r w:rsidR="004C052B">
              <w:rPr>
                <w:color w:val="000000" w:themeColor="text1"/>
                <w:lang w:val="pl-PL"/>
              </w:rPr>
              <w:t>wykorzystywanych do wykrywania i</w:t>
            </w:r>
            <w:r w:rsidRPr="00AF24C8">
              <w:rPr>
                <w:color w:val="000000" w:themeColor="text1"/>
                <w:lang w:val="pl-PL"/>
              </w:rPr>
              <w:t xml:space="preserve"> unikania ruchu we właściwym czasie. </w:t>
            </w:r>
          </w:p>
          <w:p w:rsidR="00D13477" w:rsidRPr="00F079A2" w:rsidRDefault="00D13477" w:rsidP="00ED6C8F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lastRenderedPageBreak/>
              <w:t xml:space="preserve">W tym kontekście właściwy czas jest definiowany jako taki, </w:t>
            </w:r>
            <w:r w:rsidR="00ED6C8F">
              <w:rPr>
                <w:color w:val="000000" w:themeColor="text1"/>
                <w:lang w:val="pl-PL"/>
              </w:rPr>
              <w:t>który umożliwi pilotowi podjęcie</w:t>
            </w:r>
            <w:r w:rsidRPr="00AF24C8">
              <w:rPr>
                <w:color w:val="000000" w:themeColor="text1"/>
                <w:lang w:val="pl-PL"/>
              </w:rPr>
              <w:t xml:space="preserve"> decyzji w ciągu 5 sekund po </w:t>
            </w:r>
            <w:r w:rsidR="00ED6C8F">
              <w:rPr>
                <w:color w:val="000000" w:themeColor="text1"/>
                <w:lang w:val="pl-PL"/>
              </w:rPr>
              <w:t>zauważeniu</w:t>
            </w:r>
            <w:r w:rsidRPr="00AF24C8">
              <w:rPr>
                <w:color w:val="000000" w:themeColor="text1"/>
                <w:lang w:val="pl-PL"/>
              </w:rPr>
              <w:t xml:space="preserve"> nadlatującego statku powietrznego. Operator zapewnia ocenę awaryjności lub dostępności dowolnego narzędzia </w:t>
            </w:r>
            <w:r w:rsidR="00ED6C8F">
              <w:rPr>
                <w:color w:val="000000" w:themeColor="text1"/>
                <w:lang w:val="pl-PL"/>
              </w:rPr>
              <w:t>bądź</w:t>
            </w:r>
            <w:r w:rsidR="004C052B">
              <w:rPr>
                <w:color w:val="000000" w:themeColor="text1"/>
                <w:lang w:val="pl-PL"/>
              </w:rPr>
              <w:t xml:space="preserve"> usługi</w:t>
            </w:r>
            <w:r w:rsidRPr="00AF24C8">
              <w:rPr>
                <w:color w:val="000000" w:themeColor="text1"/>
                <w:lang w:val="pl-PL"/>
              </w:rPr>
              <w:t xml:space="preserve"> z której zamierza korzystać.</w:t>
            </w:r>
          </w:p>
        </w:tc>
        <w:tc>
          <w:tcPr>
            <w:tcW w:w="3821" w:type="dxa"/>
          </w:tcPr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D13477" w:rsidRDefault="00D134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8"/>
        <w:gridCol w:w="3555"/>
        <w:gridCol w:w="3569"/>
      </w:tblGrid>
      <w:tr w:rsidR="00D13477" w:rsidRPr="008B09C6" w:rsidTr="00AF24C8">
        <w:tc>
          <w:tcPr>
            <w:tcW w:w="1980" w:type="dxa"/>
            <w:vMerge w:val="restart"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648" w:type="dxa"/>
            <w:gridSpan w:val="2"/>
            <w:shd w:val="clear" w:color="auto" w:fill="BDD6EE" w:themeFill="accent1" w:themeFillTint="66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Poziom TMPR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D13477" w:rsidRPr="008B09C6" w:rsidTr="00AF24C8">
        <w:tc>
          <w:tcPr>
            <w:tcW w:w="1980" w:type="dxa"/>
            <w:vMerge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827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Arc-</w:t>
            </w:r>
            <w:r>
              <w:rPr>
                <w:color w:val="000000" w:themeColor="text1"/>
                <w:lang w:val="pl-PL"/>
              </w:rPr>
              <w:t>c</w:t>
            </w:r>
          </w:p>
        </w:tc>
        <w:tc>
          <w:tcPr>
            <w:tcW w:w="3821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D13477" w:rsidRPr="00290D49" w:rsidTr="00AF24C8">
        <w:tc>
          <w:tcPr>
            <w:tcW w:w="1980" w:type="dxa"/>
            <w:shd w:val="clear" w:color="auto" w:fill="FFF2CC" w:themeFill="accent4" w:themeFillTint="33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Wydanie komendy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ED6C8F" w:rsidRDefault="00ED6C8F" w:rsidP="00ED6C8F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Opóźnienie wydania komendy (opóźnienie działania ‘</w:t>
            </w:r>
            <w:r>
              <w:rPr>
                <w:color w:val="000000" w:themeColor="text1"/>
                <w:lang w:val="pl-PL"/>
              </w:rPr>
              <w:t xml:space="preserve">łącza </w:t>
            </w:r>
            <w:r w:rsidRPr="00AF24C8">
              <w:rPr>
                <w:color w:val="000000" w:themeColor="text1"/>
                <w:lang w:val="pl-PL"/>
              </w:rPr>
              <w:t>C2</w:t>
            </w:r>
            <w:r>
              <w:rPr>
                <w:color w:val="000000" w:themeColor="text1"/>
                <w:lang w:val="pl-PL"/>
              </w:rPr>
              <w:t>’</w:t>
            </w:r>
            <w:r w:rsidRPr="00AF24C8">
              <w:rPr>
                <w:color w:val="000000" w:themeColor="text1"/>
                <w:lang w:val="pl-PL"/>
              </w:rPr>
              <w:t xml:space="preserve">), </w:t>
            </w:r>
            <w:r>
              <w:rPr>
                <w:color w:val="000000" w:themeColor="text1"/>
                <w:lang w:val="pl-PL"/>
              </w:rPr>
              <w:t>tj.</w:t>
            </w:r>
            <w:r w:rsidRPr="00AF24C8">
              <w:rPr>
                <w:color w:val="000000" w:themeColor="text1"/>
                <w:lang w:val="pl-PL"/>
              </w:rPr>
              <w:t xml:space="preserve"> czas pomiędzy wydaniem komendy przez pilota, a wykonaniem komendy prze</w:t>
            </w:r>
            <w:r>
              <w:rPr>
                <w:color w:val="000000" w:themeColor="text1"/>
                <w:lang w:val="pl-PL"/>
              </w:rPr>
              <w:t>z BSP nie powinien przekraczać 3</w:t>
            </w:r>
            <w:r w:rsidRPr="00AF24C8">
              <w:rPr>
                <w:color w:val="000000" w:themeColor="text1"/>
                <w:lang w:val="pl-PL"/>
              </w:rPr>
              <w:t xml:space="preserve"> sekund.</w:t>
            </w:r>
          </w:p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3821" w:type="dxa"/>
          </w:tcPr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D13477" w:rsidRDefault="00D134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3"/>
        <w:gridCol w:w="3853"/>
        <w:gridCol w:w="3526"/>
      </w:tblGrid>
      <w:tr w:rsidR="00D13477" w:rsidRPr="00C471DB" w:rsidTr="00AF24C8">
        <w:tc>
          <w:tcPr>
            <w:tcW w:w="1696" w:type="dxa"/>
            <w:vMerge w:val="restart"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932" w:type="dxa"/>
            <w:gridSpan w:val="2"/>
            <w:shd w:val="clear" w:color="auto" w:fill="BDD6EE" w:themeFill="accent1" w:themeFillTint="66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Poziom TMPR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D13477" w:rsidRPr="00C471DB" w:rsidTr="00AF24C8">
        <w:tc>
          <w:tcPr>
            <w:tcW w:w="1696" w:type="dxa"/>
            <w:vMerge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4111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Arc-</w:t>
            </w:r>
            <w:r>
              <w:rPr>
                <w:color w:val="000000" w:themeColor="text1"/>
                <w:lang w:val="pl-PL"/>
              </w:rPr>
              <w:t>c</w:t>
            </w:r>
          </w:p>
        </w:tc>
        <w:tc>
          <w:tcPr>
            <w:tcW w:w="3821" w:type="dxa"/>
            <w:shd w:val="clear" w:color="auto" w:fill="FFC000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D13477" w:rsidRPr="004802F8" w:rsidTr="00AF24C8">
        <w:tc>
          <w:tcPr>
            <w:tcW w:w="1696" w:type="dxa"/>
            <w:shd w:val="clear" w:color="auto" w:fill="FFF2CC" w:themeFill="accent4" w:themeFillTint="33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C471DB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Wykonanie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Procedura unikania może polegać na wykonaniu manewrów unikania w pionie lub poziomie i powinna być zdefiniowana w procedurach operacyjnych</w:t>
            </w:r>
            <w:r w:rsidR="00ED6C8F">
              <w:rPr>
                <w:color w:val="000000" w:themeColor="text1"/>
                <w:lang w:val="pl-PL"/>
              </w:rPr>
              <w:t xml:space="preserve"> (procedury bezpieczeństwa)</w:t>
            </w:r>
            <w:r w:rsidRPr="00AF24C8">
              <w:rPr>
                <w:color w:val="000000" w:themeColor="text1"/>
                <w:lang w:val="pl-PL"/>
              </w:rPr>
              <w:t>. Jeżeli stosuje się wykonywanie manewrów w poziomie  należy wykazać, że BSP ma odpowiednie osiągi, takie jak prędkość lotu, przyspieszenie, prędkość wznoszenia/</w:t>
            </w:r>
            <w:r w:rsidR="00ED6C8F">
              <w:rPr>
                <w:color w:val="000000" w:themeColor="text1"/>
                <w:lang w:val="pl-PL"/>
              </w:rPr>
              <w:t>zniżania</w:t>
            </w:r>
            <w:r w:rsidRPr="00AF24C8">
              <w:rPr>
                <w:color w:val="000000" w:themeColor="text1"/>
                <w:lang w:val="pl-PL"/>
              </w:rPr>
              <w:t xml:space="preserve"> i prędkość </w:t>
            </w:r>
            <w:r w:rsidR="00ED6C8F">
              <w:rPr>
                <w:color w:val="000000" w:themeColor="text1"/>
                <w:lang w:val="pl-PL"/>
              </w:rPr>
              <w:t>zakrętu</w:t>
            </w:r>
            <w:r w:rsidRPr="00AF24C8">
              <w:rPr>
                <w:color w:val="000000" w:themeColor="text1"/>
                <w:lang w:val="pl-PL"/>
              </w:rPr>
              <w:t xml:space="preserve">. Poniżej </w:t>
            </w:r>
            <w:r w:rsidR="00ED6C8F">
              <w:rPr>
                <w:color w:val="000000" w:themeColor="text1"/>
                <w:lang w:val="pl-PL"/>
              </w:rPr>
              <w:t xml:space="preserve">znajdują się </w:t>
            </w:r>
            <w:r w:rsidRPr="00AF24C8">
              <w:rPr>
                <w:color w:val="000000" w:themeColor="text1"/>
                <w:lang w:val="pl-PL"/>
              </w:rPr>
              <w:t xml:space="preserve">sugerowane minimalne </w:t>
            </w:r>
            <w:r w:rsidR="00ED6C8F">
              <w:rPr>
                <w:color w:val="000000" w:themeColor="text1"/>
                <w:lang w:val="pl-PL"/>
              </w:rPr>
              <w:t>kryteria</w:t>
            </w:r>
            <w:r w:rsidRPr="00AF24C8">
              <w:rPr>
                <w:color w:val="000000" w:themeColor="text1"/>
                <w:lang w:val="pl-PL"/>
              </w:rPr>
              <w:t xml:space="preserve"> </w:t>
            </w:r>
            <w:r w:rsidR="00ED6C8F">
              <w:rPr>
                <w:color w:val="000000" w:themeColor="text1"/>
                <w:lang w:val="pl-PL"/>
              </w:rPr>
              <w:t>osiągów</w:t>
            </w:r>
            <w:r w:rsidRPr="00AF24C8">
              <w:rPr>
                <w:color w:val="000000" w:themeColor="text1"/>
                <w:lang w:val="pl-PL"/>
              </w:rPr>
              <w:t>:</w:t>
            </w:r>
            <w:r w:rsidRPr="00AF24C8">
              <w:rPr>
                <w:rFonts w:cs="Calibri"/>
                <w:color w:val="000000" w:themeColor="text1"/>
                <w:lang w:val="pl-PL"/>
              </w:rPr>
              <w:t>¹⁰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Prędkość lotu: ≥ 50 węzłów</w:t>
            </w:r>
            <w:r w:rsidR="00FA0D32">
              <w:rPr>
                <w:color w:val="000000" w:themeColor="text1"/>
                <w:lang w:val="pl-PL"/>
              </w:rPr>
              <w:t xml:space="preserve"> (93 km/h)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Prędkość wznoszenia/zniżania: ≥ 500 </w:t>
            </w:r>
            <w:proofErr w:type="spellStart"/>
            <w:r w:rsidR="00ED6C8F">
              <w:rPr>
                <w:color w:val="000000" w:themeColor="text1"/>
                <w:lang w:val="pl-PL"/>
              </w:rPr>
              <w:t>ft</w:t>
            </w:r>
            <w:proofErr w:type="spellEnd"/>
            <w:r w:rsidRPr="00AF24C8">
              <w:rPr>
                <w:color w:val="000000" w:themeColor="text1"/>
                <w:lang w:val="pl-PL"/>
              </w:rPr>
              <w:t>/min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Prędkość </w:t>
            </w:r>
            <w:r w:rsidR="00FA0D32">
              <w:rPr>
                <w:color w:val="000000" w:themeColor="text1"/>
                <w:lang w:val="pl-PL"/>
              </w:rPr>
              <w:t>kątowa</w:t>
            </w:r>
            <w:bookmarkStart w:id="0" w:name="_GoBack"/>
            <w:bookmarkEnd w:id="0"/>
            <w:r w:rsidRPr="00AF24C8">
              <w:rPr>
                <w:color w:val="000000" w:themeColor="text1"/>
                <w:lang w:val="pl-PL"/>
              </w:rPr>
              <w:t>: ≥ 3 stopnie na sekundę</w:t>
            </w:r>
          </w:p>
          <w:p w:rsidR="00D13477" w:rsidRPr="004802F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3821" w:type="dxa"/>
          </w:tcPr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</w:tr>
      <w:tr w:rsidR="00D13477" w:rsidRPr="00C471DB" w:rsidTr="00AF24C8">
        <w:tc>
          <w:tcPr>
            <w:tcW w:w="9628" w:type="dxa"/>
            <w:gridSpan w:val="3"/>
            <w:shd w:val="clear" w:color="auto" w:fill="E7E6E6" w:themeFill="background2"/>
          </w:tcPr>
          <w:p w:rsidR="00D13477" w:rsidRPr="00F079A2" w:rsidRDefault="00D13477" w:rsidP="00AF24C8">
            <w:pPr>
              <w:rPr>
                <w:color w:val="000000" w:themeColor="text1"/>
                <w:lang w:val="en-US"/>
              </w:rPr>
            </w:pPr>
            <w:r w:rsidRPr="00F079A2">
              <w:rPr>
                <w:rFonts w:cs="Calibri"/>
                <w:color w:val="000000" w:themeColor="text1"/>
                <w:lang w:val="en-US"/>
              </w:rPr>
              <w:t xml:space="preserve">¹⁰Low End Performance Representative (LEPR) </w:t>
            </w:r>
            <w:proofErr w:type="spellStart"/>
            <w:r w:rsidRPr="00F079A2">
              <w:rPr>
                <w:rFonts w:cs="Calibri"/>
                <w:color w:val="000000" w:themeColor="text1"/>
                <w:lang w:val="en-US"/>
              </w:rPr>
              <w:t>wymagania</w:t>
            </w:r>
            <w:proofErr w:type="spellEnd"/>
            <w:r w:rsidRPr="00F079A2">
              <w:rPr>
                <w:rFonts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F079A2">
              <w:rPr>
                <w:rFonts w:cs="Calibri"/>
                <w:color w:val="000000" w:themeColor="text1"/>
                <w:lang w:val="en-US"/>
              </w:rPr>
              <w:t>osiągowe</w:t>
            </w:r>
            <w:proofErr w:type="spellEnd"/>
            <w:r w:rsidRPr="00F079A2">
              <w:rPr>
                <w:rFonts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F079A2">
              <w:rPr>
                <w:rFonts w:cs="Calibri"/>
                <w:color w:val="000000" w:themeColor="text1"/>
                <w:lang w:val="en-US"/>
              </w:rPr>
              <w:t>dla</w:t>
            </w:r>
            <w:proofErr w:type="spellEnd"/>
            <w:r w:rsidRPr="00F079A2">
              <w:rPr>
                <w:rFonts w:cs="Calibri"/>
                <w:color w:val="000000" w:themeColor="text1"/>
                <w:lang w:val="en-US"/>
              </w:rPr>
              <w:t xml:space="preserve"> RTCA SC-228 Study 5</w:t>
            </w:r>
          </w:p>
        </w:tc>
      </w:tr>
    </w:tbl>
    <w:p w:rsidR="00D13477" w:rsidRDefault="00D134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3694"/>
        <w:gridCol w:w="3558"/>
      </w:tblGrid>
      <w:tr w:rsidR="00D13477" w:rsidRPr="00C471DB" w:rsidTr="00AF24C8">
        <w:tc>
          <w:tcPr>
            <w:tcW w:w="1838" w:type="dxa"/>
            <w:vMerge w:val="restart"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790" w:type="dxa"/>
            <w:gridSpan w:val="2"/>
            <w:shd w:val="clear" w:color="auto" w:fill="BDD6EE" w:themeFill="accent1" w:themeFillTint="66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Poziom TMPR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6D79D4" w:rsidRPr="00C471DB" w:rsidTr="00AF24C8">
        <w:tc>
          <w:tcPr>
            <w:tcW w:w="1838" w:type="dxa"/>
            <w:vMerge/>
            <w:shd w:val="clear" w:color="auto" w:fill="FFF2CC" w:themeFill="accent4" w:themeFillTint="33"/>
          </w:tcPr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969" w:type="dxa"/>
            <w:shd w:val="clear" w:color="auto" w:fill="FFC000"/>
          </w:tcPr>
          <w:p w:rsidR="00D13477" w:rsidRPr="00AF24C8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Arc-</w:t>
            </w:r>
            <w:r>
              <w:rPr>
                <w:color w:val="000000" w:themeColor="text1"/>
                <w:lang w:val="pl-PL"/>
              </w:rPr>
              <w:t>c</w:t>
            </w:r>
          </w:p>
        </w:tc>
        <w:tc>
          <w:tcPr>
            <w:tcW w:w="3821" w:type="dxa"/>
            <w:shd w:val="clear" w:color="auto" w:fill="FFC000"/>
          </w:tcPr>
          <w:p w:rsidR="00D13477" w:rsidRPr="00AF24C8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6D79D4" w:rsidRPr="004802F8" w:rsidTr="00AF24C8">
        <w:tc>
          <w:tcPr>
            <w:tcW w:w="1838" w:type="dxa"/>
            <w:shd w:val="clear" w:color="auto" w:fill="FFF2CC" w:themeFill="accent4" w:themeFillTint="33"/>
          </w:tcPr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C471DB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  <w:r w:rsidRPr="00F079A2">
              <w:rPr>
                <w:color w:val="000000" w:themeColor="text1"/>
                <w:lang w:val="pl-PL"/>
              </w:rPr>
              <w:t>Kontrola efektów</w:t>
            </w: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Informacje o ruchu przekazywane są do pilota z opóźnieniem i </w:t>
            </w:r>
            <w:r w:rsidR="006D79D4">
              <w:rPr>
                <w:color w:val="000000" w:themeColor="text1"/>
                <w:lang w:val="pl-PL"/>
              </w:rPr>
              <w:t>częstotliwością</w:t>
            </w:r>
            <w:r w:rsidRPr="00AF24C8">
              <w:rPr>
                <w:color w:val="000000" w:themeColor="text1"/>
                <w:lang w:val="pl-PL"/>
              </w:rPr>
              <w:t xml:space="preserve"> aktualizacji, które wspierają kryteria podjęcia decyzji. Wnioskodawca przedstawia ocenę narastają</w:t>
            </w:r>
            <w:r w:rsidR="006D79D4">
              <w:rPr>
                <w:color w:val="000000" w:themeColor="text1"/>
                <w:lang w:val="pl-PL"/>
              </w:rPr>
              <w:t>cych wskaźników zbliżania biorą</w:t>
            </w:r>
            <w:r w:rsidRPr="00AF24C8">
              <w:rPr>
                <w:color w:val="000000" w:themeColor="text1"/>
                <w:lang w:val="pl-PL"/>
              </w:rPr>
              <w:t>c pod uwagę ruch, który z racjonalnego punktu widzenia może zo</w:t>
            </w:r>
            <w:r w:rsidR="006D79D4">
              <w:rPr>
                <w:color w:val="000000" w:themeColor="text1"/>
                <w:lang w:val="pl-PL"/>
              </w:rPr>
              <w:t>stać napotkany na danym obszarze</w:t>
            </w:r>
            <w:r w:rsidRPr="00AF24C8">
              <w:rPr>
                <w:color w:val="000000" w:themeColor="text1"/>
                <w:lang w:val="pl-PL"/>
              </w:rPr>
              <w:t xml:space="preserve">, </w:t>
            </w:r>
            <w:r w:rsidR="006D79D4">
              <w:rPr>
                <w:color w:val="000000" w:themeColor="text1"/>
                <w:lang w:val="pl-PL"/>
              </w:rPr>
              <w:t>częstotliwość</w:t>
            </w:r>
            <w:r w:rsidRPr="00AF24C8">
              <w:rPr>
                <w:color w:val="000000" w:themeColor="text1"/>
                <w:lang w:val="pl-PL"/>
              </w:rPr>
              <w:t xml:space="preserve"> aktualizacji informacji o ruchu </w:t>
            </w:r>
            <w:r w:rsidR="006D79D4">
              <w:rPr>
                <w:color w:val="000000" w:themeColor="text1"/>
                <w:lang w:val="pl-PL"/>
              </w:rPr>
              <w:t>i opóźnienia</w:t>
            </w:r>
            <w:r w:rsidRPr="00AF24C8">
              <w:rPr>
                <w:color w:val="000000" w:themeColor="text1"/>
                <w:lang w:val="pl-PL"/>
              </w:rPr>
              <w:t xml:space="preserve">, opóźnienie wydania </w:t>
            </w:r>
            <w:r w:rsidR="006D79D4">
              <w:rPr>
                <w:color w:val="000000" w:themeColor="text1"/>
                <w:lang w:val="pl-PL"/>
              </w:rPr>
              <w:t xml:space="preserve">komendy </w:t>
            </w:r>
            <w:r w:rsidR="00FF73A2">
              <w:rPr>
                <w:color w:val="000000" w:themeColor="text1"/>
                <w:lang w:val="pl-PL"/>
              </w:rPr>
              <w:t>‘łącze C</w:t>
            </w:r>
            <w:r w:rsidRPr="00AF24C8">
              <w:rPr>
                <w:color w:val="000000" w:themeColor="text1"/>
                <w:lang w:val="pl-PL"/>
              </w:rPr>
              <w:t>2</w:t>
            </w:r>
            <w:r w:rsidR="00FF73A2">
              <w:rPr>
                <w:color w:val="000000" w:themeColor="text1"/>
                <w:lang w:val="pl-PL"/>
              </w:rPr>
              <w:t>’</w:t>
            </w:r>
            <w:r w:rsidR="004C052B">
              <w:rPr>
                <w:color w:val="000000" w:themeColor="text1"/>
                <w:lang w:val="pl-PL"/>
              </w:rPr>
              <w:t xml:space="preserve">, zdolności manewrowe oraz </w:t>
            </w:r>
            <w:r w:rsidR="006D79D4">
              <w:rPr>
                <w:color w:val="000000" w:themeColor="text1"/>
                <w:lang w:val="pl-PL"/>
              </w:rPr>
              <w:t>wydajność BSP. N</w:t>
            </w:r>
            <w:r w:rsidRPr="00AF24C8">
              <w:rPr>
                <w:color w:val="000000" w:themeColor="text1"/>
                <w:lang w:val="pl-PL"/>
              </w:rPr>
              <w:t xml:space="preserve">a podstawie </w:t>
            </w:r>
            <w:r w:rsidR="006D79D4">
              <w:rPr>
                <w:color w:val="000000" w:themeColor="text1"/>
                <w:lang w:val="pl-PL"/>
              </w:rPr>
              <w:t xml:space="preserve">powyższych danych wnioskodawca </w:t>
            </w:r>
            <w:r w:rsidRPr="00AF24C8">
              <w:rPr>
                <w:color w:val="000000" w:themeColor="text1"/>
                <w:lang w:val="pl-PL"/>
              </w:rPr>
              <w:t>odpowiednio wyznacza progi wykrywania.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Poniżej </w:t>
            </w:r>
            <w:r w:rsidR="006D79D4">
              <w:rPr>
                <w:color w:val="000000" w:themeColor="text1"/>
                <w:lang w:val="pl-PL"/>
              </w:rPr>
              <w:t xml:space="preserve">przedstawiono </w:t>
            </w:r>
            <w:r w:rsidRPr="00AF24C8">
              <w:rPr>
                <w:color w:val="000000" w:themeColor="text1"/>
                <w:lang w:val="pl-PL"/>
              </w:rPr>
              <w:t>sugerowane minimalne kryteria: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Szybkość aktualizacji danych</w:t>
            </w:r>
            <w:r w:rsidR="006D79D4">
              <w:rPr>
                <w:color w:val="000000" w:themeColor="text1"/>
                <w:lang w:val="pl-PL"/>
              </w:rPr>
              <w:t xml:space="preserve"> wektorowych</w:t>
            </w:r>
            <w:r w:rsidRPr="00AF24C8">
              <w:rPr>
                <w:color w:val="000000" w:themeColor="text1"/>
                <w:lang w:val="pl-PL"/>
              </w:rPr>
              <w:t xml:space="preserve"> </w:t>
            </w:r>
            <w:r w:rsidR="006D79D4">
              <w:rPr>
                <w:color w:val="000000" w:themeColor="text1"/>
                <w:lang w:val="pl-PL"/>
              </w:rPr>
              <w:t xml:space="preserve">innych użytkowników przestrzeni jak </w:t>
            </w:r>
            <w:r w:rsidRPr="00AF24C8">
              <w:rPr>
                <w:color w:val="000000" w:themeColor="text1"/>
                <w:lang w:val="pl-PL"/>
              </w:rPr>
              <w:t>i własnych:</w:t>
            </w:r>
          </w:p>
          <w:p w:rsidR="00D13477" w:rsidRPr="00AF24C8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≤ 3 sekundy.</w:t>
            </w:r>
          </w:p>
          <w:p w:rsidR="00D13477" w:rsidRPr="00F51CE6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3821" w:type="dxa"/>
          </w:tcPr>
          <w:p w:rsidR="00D13477" w:rsidRPr="00F079A2" w:rsidRDefault="00D13477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D13477" w:rsidRPr="00F079A2" w:rsidRDefault="00D13477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D13477" w:rsidRDefault="00D13477"/>
    <w:sectPr w:rsidR="00D1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7"/>
    <w:rsid w:val="002A7EE7"/>
    <w:rsid w:val="002F289E"/>
    <w:rsid w:val="004C052B"/>
    <w:rsid w:val="005C475E"/>
    <w:rsid w:val="00660029"/>
    <w:rsid w:val="00670A71"/>
    <w:rsid w:val="006D79D4"/>
    <w:rsid w:val="008A59B6"/>
    <w:rsid w:val="00996592"/>
    <w:rsid w:val="00A57A86"/>
    <w:rsid w:val="00D13477"/>
    <w:rsid w:val="00D43398"/>
    <w:rsid w:val="00EA4050"/>
    <w:rsid w:val="00ED6C8F"/>
    <w:rsid w:val="00FA0D32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6582"/>
  <w15:chartTrackingRefBased/>
  <w15:docId w15:val="{F111FF3F-D5D7-42CD-9C95-015FD87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477"/>
    <w:pPr>
      <w:spacing w:after="0" w:line="240" w:lineRule="auto"/>
      <w:jc w:val="both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a.europa.eu/en/document-library/easy-access-rules/easy-access-rules-unmanned-aircraft-systems-regulations-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7</cp:revision>
  <dcterms:created xsi:type="dcterms:W3CDTF">2022-07-11T09:12:00Z</dcterms:created>
  <dcterms:modified xsi:type="dcterms:W3CDTF">2025-01-13T16:10:00Z</dcterms:modified>
</cp:coreProperties>
</file>